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A562" w14:textId="77777777" w:rsidR="00FD31E1" w:rsidRDefault="00FD31E1">
      <w:pPr>
        <w:spacing w:line="100" w:lineRule="atLeast"/>
        <w:rPr>
          <w:rFonts w:asciiTheme="minorHAnsi" w:hAnsiTheme="minorHAnsi"/>
          <w:b/>
        </w:rPr>
      </w:pPr>
    </w:p>
    <w:p w14:paraId="2E41B65B" w14:textId="3862C6F4" w:rsidR="0016017A" w:rsidRDefault="00C6298A" w:rsidP="0016017A">
      <w:pPr>
        <w:jc w:val="center"/>
        <w:rPr>
          <w:rFonts w:ascii="Cambria" w:hAnsi="Cambria"/>
          <w:b/>
          <w:color w:val="1F4E79" w:themeColor="accent1" w:themeShade="80"/>
          <w:sz w:val="56"/>
          <w:szCs w:val="56"/>
        </w:rPr>
      </w:pPr>
      <w:r>
        <w:rPr>
          <w:rFonts w:ascii="Cambria" w:hAnsi="Cambria"/>
          <w:b/>
          <w:noProof/>
          <w:color w:val="1F4E79" w:themeColor="accent1" w:themeShade="80"/>
          <w:sz w:val="56"/>
          <w:szCs w:val="56"/>
        </w:rPr>
        <w:drawing>
          <wp:inline distT="0" distB="0" distL="0" distR="0" wp14:anchorId="4077594E" wp14:editId="3529DDF5">
            <wp:extent cx="6120130" cy="3197225"/>
            <wp:effectExtent l="0" t="0" r="0" b="3175"/>
            <wp:docPr id="94439534" name="Picture 9443953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9534" name="Afbeelding 1" descr="Afbeelding met tekst, Lettertype, Graphics, grafische vormgeving&#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6120130" cy="3197225"/>
                    </a:xfrm>
                    <a:prstGeom prst="rect">
                      <a:avLst/>
                    </a:prstGeom>
                  </pic:spPr>
                </pic:pic>
              </a:graphicData>
            </a:graphic>
          </wp:inline>
        </w:drawing>
      </w:r>
      <w:r w:rsidR="0016017A" w:rsidRPr="0016017A">
        <w:rPr>
          <w:rFonts w:ascii="Cambria" w:hAnsi="Cambria"/>
          <w:b/>
          <w:color w:val="1F4E79" w:themeColor="accent1" w:themeShade="80"/>
          <w:sz w:val="56"/>
          <w:szCs w:val="56"/>
        </w:rPr>
        <w:t xml:space="preserve"> </w:t>
      </w:r>
    </w:p>
    <w:p w14:paraId="7DC82248" w14:textId="77777777" w:rsidR="0016017A" w:rsidRDefault="0016017A" w:rsidP="0016017A">
      <w:pPr>
        <w:jc w:val="center"/>
        <w:rPr>
          <w:rFonts w:ascii="Cambria" w:hAnsi="Cambria"/>
          <w:b/>
          <w:color w:val="1F4E79" w:themeColor="accent1" w:themeShade="80"/>
          <w:sz w:val="56"/>
          <w:szCs w:val="56"/>
        </w:rPr>
      </w:pPr>
    </w:p>
    <w:p w14:paraId="101EB14D" w14:textId="77777777" w:rsidR="0016017A" w:rsidRDefault="0016017A" w:rsidP="0016017A">
      <w:pPr>
        <w:jc w:val="center"/>
        <w:rPr>
          <w:rFonts w:ascii="Cambria" w:hAnsi="Cambria"/>
          <w:b/>
          <w:color w:val="1F4E79" w:themeColor="accent1" w:themeShade="80"/>
          <w:sz w:val="56"/>
          <w:szCs w:val="56"/>
        </w:rPr>
      </w:pPr>
    </w:p>
    <w:p w14:paraId="6DF955D7" w14:textId="77777777" w:rsidR="0016017A" w:rsidRDefault="0016017A" w:rsidP="0016017A">
      <w:pPr>
        <w:jc w:val="center"/>
        <w:rPr>
          <w:rFonts w:ascii="Cambria" w:hAnsi="Cambria"/>
          <w:b/>
          <w:color w:val="1F4E79" w:themeColor="accent1" w:themeShade="80"/>
          <w:sz w:val="56"/>
          <w:szCs w:val="56"/>
        </w:rPr>
      </w:pPr>
    </w:p>
    <w:p w14:paraId="06BCD013" w14:textId="77777777" w:rsidR="0016017A" w:rsidRDefault="0016017A" w:rsidP="0016017A">
      <w:pPr>
        <w:jc w:val="center"/>
        <w:rPr>
          <w:rFonts w:ascii="Cambria" w:hAnsi="Cambria"/>
          <w:b/>
          <w:color w:val="1F4E79" w:themeColor="accent1" w:themeShade="80"/>
          <w:sz w:val="56"/>
          <w:szCs w:val="56"/>
        </w:rPr>
      </w:pPr>
    </w:p>
    <w:p w14:paraId="58C99BFB" w14:textId="0FFEB193" w:rsidR="0016017A" w:rsidRDefault="00717517" w:rsidP="00EA408C">
      <w:pPr>
        <w:jc w:val="center"/>
        <w:rPr>
          <w:rFonts w:ascii="Cambria" w:hAnsi="Cambria"/>
          <w:b/>
          <w:color w:val="1F4E79" w:themeColor="accent1" w:themeShade="80"/>
          <w:sz w:val="56"/>
          <w:szCs w:val="56"/>
        </w:rPr>
      </w:pPr>
      <w:r>
        <w:rPr>
          <w:rFonts w:ascii="Cambria" w:hAnsi="Cambria"/>
          <w:b/>
          <w:color w:val="1F4E79" w:themeColor="accent1" w:themeShade="80"/>
          <w:sz w:val="56"/>
          <w:szCs w:val="56"/>
        </w:rPr>
        <w:t>Dyslexie protocol</w:t>
      </w:r>
    </w:p>
    <w:p w14:paraId="612EF3A7" w14:textId="52CBF83A" w:rsidR="0016017A" w:rsidRPr="009D5136" w:rsidRDefault="00C6298A" w:rsidP="00EA408C">
      <w:pPr>
        <w:jc w:val="center"/>
        <w:rPr>
          <w:rFonts w:ascii="Cambria" w:hAnsi="Cambria"/>
          <w:b/>
          <w:color w:val="1F4E79" w:themeColor="accent1" w:themeShade="80"/>
          <w:sz w:val="56"/>
          <w:szCs w:val="56"/>
        </w:rPr>
      </w:pPr>
      <w:r>
        <w:rPr>
          <w:rFonts w:ascii="Cambria" w:hAnsi="Cambria"/>
          <w:b/>
          <w:color w:val="1F4E79" w:themeColor="accent1" w:themeShade="80"/>
          <w:sz w:val="56"/>
          <w:szCs w:val="56"/>
        </w:rPr>
        <w:t xml:space="preserve">Kindcentrum </w:t>
      </w:r>
      <w:r w:rsidR="0016017A" w:rsidRPr="009D5136">
        <w:rPr>
          <w:rFonts w:ascii="Cambria" w:hAnsi="Cambria"/>
          <w:b/>
          <w:color w:val="1F4E79" w:themeColor="accent1" w:themeShade="80"/>
          <w:sz w:val="56"/>
          <w:szCs w:val="56"/>
        </w:rPr>
        <w:t>Willibrord</w:t>
      </w:r>
    </w:p>
    <w:p w14:paraId="19CBDD25" w14:textId="19A26A12" w:rsidR="00B33684" w:rsidRDefault="00EA408C" w:rsidP="00EA408C">
      <w:pPr>
        <w:widowControl/>
        <w:suppressAutoHyphens w:val="0"/>
        <w:jc w:val="center"/>
        <w:rPr>
          <w:rFonts w:ascii="Cambria" w:hAnsi="Cambria"/>
          <w:b/>
          <w:color w:val="1F4E79" w:themeColor="accent1" w:themeShade="80"/>
          <w:sz w:val="56"/>
          <w:szCs w:val="56"/>
        </w:rPr>
      </w:pPr>
      <w:r>
        <w:rPr>
          <w:rFonts w:ascii="Cambria" w:hAnsi="Cambria"/>
          <w:b/>
          <w:color w:val="1F4E79" w:themeColor="accent1" w:themeShade="80"/>
          <w:sz w:val="56"/>
          <w:szCs w:val="56"/>
        </w:rPr>
        <w:t>Juni 2025</w:t>
      </w:r>
    </w:p>
    <w:p w14:paraId="5B39C8F7" w14:textId="77777777" w:rsidR="00EA408C" w:rsidRDefault="00EA408C" w:rsidP="0057409E">
      <w:pPr>
        <w:widowControl/>
        <w:suppressAutoHyphens w:val="0"/>
        <w:ind w:left="2127"/>
        <w:rPr>
          <w:rFonts w:ascii="Cambria" w:hAnsi="Cambria"/>
          <w:b/>
          <w:color w:val="1F4E79" w:themeColor="accent1" w:themeShade="80"/>
          <w:sz w:val="56"/>
          <w:szCs w:val="56"/>
        </w:rPr>
      </w:pPr>
    </w:p>
    <w:p w14:paraId="61BB7A85" w14:textId="77777777" w:rsidR="00717517" w:rsidRDefault="00717517">
      <w:pPr>
        <w:widowControl/>
        <w:suppressAutoHyphens w:val="0"/>
        <w:rPr>
          <w:rFonts w:ascii="Cambria" w:hAnsi="Cambria"/>
          <w:b/>
          <w:color w:val="1F4E79" w:themeColor="accent1" w:themeShade="80"/>
          <w:sz w:val="56"/>
          <w:szCs w:val="56"/>
        </w:rPr>
      </w:pPr>
      <w:r>
        <w:rPr>
          <w:rFonts w:ascii="Cambria" w:hAnsi="Cambria"/>
          <w:b/>
          <w:color w:val="1F4E79" w:themeColor="accent1" w:themeShade="80"/>
          <w:sz w:val="56"/>
          <w:szCs w:val="56"/>
        </w:rPr>
        <w:br w:type="page"/>
      </w:r>
    </w:p>
    <w:p w14:paraId="08FAF01C"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lastRenderedPageBreak/>
        <w:t>Het diagnostisch onderzoek naar dyslexie ligt in handen van geregistreerde psychologen en orthopedagogen. Leerkrachten en leesspecialisten op school, spelen echter een belangrijke rol in de herkenning van dyslexie. Het is noodzakelijk om lees- en spellingproblemen zo goed mogelijk te onderscheiden van dyslexie.</w:t>
      </w:r>
    </w:p>
    <w:p w14:paraId="1DDA1799" w14:textId="77777777" w:rsidR="000908DA" w:rsidRPr="000908DA" w:rsidRDefault="000908DA" w:rsidP="000908DA">
      <w:pPr>
        <w:widowControl/>
        <w:suppressAutoHyphens w:val="0"/>
        <w:rPr>
          <w:rFonts w:ascii="Cambria" w:hAnsi="Cambria"/>
          <w:color w:val="1F4E79" w:themeColor="accent1" w:themeShade="80"/>
        </w:rPr>
      </w:pPr>
    </w:p>
    <w:p w14:paraId="52C80F9D" w14:textId="77777777" w:rsidR="000908DA" w:rsidRPr="000908DA" w:rsidRDefault="000908DA" w:rsidP="000908DA">
      <w:pPr>
        <w:widowControl/>
        <w:suppressAutoHyphens w:val="0"/>
        <w:rPr>
          <w:rFonts w:ascii="Cambria" w:hAnsi="Cambria"/>
          <w:b/>
          <w:color w:val="1F4E79" w:themeColor="accent1" w:themeShade="80"/>
        </w:rPr>
      </w:pPr>
      <w:r w:rsidRPr="000908DA">
        <w:rPr>
          <w:rFonts w:ascii="Cambria" w:hAnsi="Cambria"/>
          <w:b/>
          <w:color w:val="1F4E79" w:themeColor="accent1" w:themeShade="80"/>
        </w:rPr>
        <w:t>Om te ontdekken welke leerlingen in aanmerking komen voor een dyslexieonderzoek-en verklaring, doorlopen wij de volgende stappen:</w:t>
      </w:r>
    </w:p>
    <w:p w14:paraId="600BDB5E" w14:textId="77777777" w:rsidR="000908DA" w:rsidRPr="000908DA" w:rsidRDefault="000908DA" w:rsidP="000908DA">
      <w:pPr>
        <w:widowControl/>
        <w:suppressAutoHyphens w:val="0"/>
        <w:rPr>
          <w:rFonts w:ascii="Cambria" w:hAnsi="Cambria"/>
          <w:color w:val="1F4E79" w:themeColor="accent1" w:themeShade="80"/>
          <w:u w:val="single"/>
        </w:rPr>
      </w:pPr>
      <w:r w:rsidRPr="000908DA">
        <w:rPr>
          <w:rFonts w:ascii="Cambria" w:hAnsi="Cambria"/>
          <w:color w:val="1F4E79" w:themeColor="accent1" w:themeShade="80"/>
          <w:u w:val="single"/>
        </w:rPr>
        <w:t>Signaleringsfase:</w:t>
      </w:r>
    </w:p>
    <w:p w14:paraId="4F0F8979" w14:textId="7BCACC86"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 xml:space="preserve">- leerlingen die op ten minste drie </w:t>
      </w:r>
      <w:r w:rsidR="00DA14A6">
        <w:rPr>
          <w:rFonts w:ascii="Cambria" w:hAnsi="Cambria"/>
          <w:color w:val="1F4E79" w:themeColor="accent1" w:themeShade="80"/>
        </w:rPr>
        <w:t xml:space="preserve">opeenvolgende </w:t>
      </w:r>
      <w:r w:rsidR="00087BD6">
        <w:rPr>
          <w:rFonts w:ascii="Cambria" w:hAnsi="Cambria"/>
          <w:color w:val="1F4E79" w:themeColor="accent1" w:themeShade="80"/>
        </w:rPr>
        <w:t xml:space="preserve">officiële </w:t>
      </w:r>
      <w:r w:rsidR="00DA14A6">
        <w:rPr>
          <w:rFonts w:ascii="Cambria" w:hAnsi="Cambria"/>
          <w:color w:val="1F4E79" w:themeColor="accent1" w:themeShade="80"/>
        </w:rPr>
        <w:t>meetmomenten een V</w:t>
      </w:r>
      <w:r w:rsidR="00BA5144">
        <w:rPr>
          <w:rFonts w:ascii="Cambria" w:hAnsi="Cambria"/>
          <w:color w:val="1F4E79" w:themeColor="accent1" w:themeShade="80"/>
        </w:rPr>
        <w:t>-</w:t>
      </w:r>
      <w:r w:rsidR="00A44891">
        <w:rPr>
          <w:rFonts w:ascii="Cambria" w:hAnsi="Cambria"/>
          <w:color w:val="1F4E79" w:themeColor="accent1" w:themeShade="80"/>
        </w:rPr>
        <w:t>(</w:t>
      </w:r>
      <w:r w:rsidR="00BA5144">
        <w:rPr>
          <w:rFonts w:ascii="Cambria" w:hAnsi="Cambria"/>
          <w:color w:val="1F4E79" w:themeColor="accent1" w:themeShade="80"/>
        </w:rPr>
        <w:t xml:space="preserve">min) of </w:t>
      </w:r>
      <w:r w:rsidR="000D11F6">
        <w:rPr>
          <w:rFonts w:ascii="Cambria" w:hAnsi="Cambria"/>
          <w:color w:val="1F4E79" w:themeColor="accent1" w:themeShade="80"/>
        </w:rPr>
        <w:t>E</w:t>
      </w:r>
      <w:r w:rsidRPr="000908DA">
        <w:rPr>
          <w:rFonts w:ascii="Cambria" w:hAnsi="Cambria"/>
          <w:color w:val="1F4E79" w:themeColor="accent1" w:themeShade="80"/>
        </w:rPr>
        <w:t>-score halen op de</w:t>
      </w:r>
      <w:r w:rsidR="00FB2259">
        <w:rPr>
          <w:rFonts w:ascii="Cambria" w:hAnsi="Cambria"/>
          <w:color w:val="1F4E79" w:themeColor="accent1" w:themeShade="80"/>
        </w:rPr>
        <w:t xml:space="preserve"> </w:t>
      </w:r>
      <w:r w:rsidRPr="000908DA">
        <w:rPr>
          <w:rFonts w:ascii="Cambria" w:hAnsi="Cambria"/>
          <w:color w:val="1F4E79" w:themeColor="accent1" w:themeShade="80"/>
        </w:rPr>
        <w:t>Drie-Minuten-Toets (of vergelijkbare toets)</w:t>
      </w:r>
      <w:r w:rsidR="00DC0D6B">
        <w:rPr>
          <w:rFonts w:ascii="Cambria" w:hAnsi="Cambria"/>
          <w:color w:val="1F4E79" w:themeColor="accent1" w:themeShade="80"/>
        </w:rPr>
        <w:t>. En dat zij</w:t>
      </w:r>
      <w:r w:rsidR="008E4B34">
        <w:rPr>
          <w:rFonts w:ascii="Cambria" w:hAnsi="Cambria"/>
          <w:color w:val="1F4E79" w:themeColor="accent1" w:themeShade="80"/>
        </w:rPr>
        <w:t>,</w:t>
      </w:r>
      <w:r w:rsidRPr="000908DA">
        <w:rPr>
          <w:rFonts w:ascii="Cambria" w:hAnsi="Cambria"/>
          <w:color w:val="1F4E79" w:themeColor="accent1" w:themeShade="80"/>
        </w:rPr>
        <w:t xml:space="preserve"> ondanks extra begeleiding door de leerkracht of leesspecialist op school</w:t>
      </w:r>
      <w:r w:rsidR="008E4B34">
        <w:rPr>
          <w:rFonts w:ascii="Cambria" w:hAnsi="Cambria"/>
          <w:color w:val="1F4E79" w:themeColor="accent1" w:themeShade="80"/>
        </w:rPr>
        <w:t>, niet vooruit zijn gegaan.</w:t>
      </w:r>
      <w:r w:rsidR="00F1024E">
        <w:rPr>
          <w:rFonts w:ascii="Cambria" w:hAnsi="Cambria"/>
          <w:color w:val="1F4E79" w:themeColor="accent1" w:themeShade="80"/>
        </w:rPr>
        <w:t xml:space="preserve"> </w:t>
      </w:r>
    </w:p>
    <w:p w14:paraId="2219D507" w14:textId="51E01619"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w:t>
      </w:r>
      <w:r w:rsidR="00272C59">
        <w:rPr>
          <w:rFonts w:ascii="Cambria" w:hAnsi="Cambria"/>
          <w:color w:val="1F4E79" w:themeColor="accent1" w:themeShade="80"/>
        </w:rPr>
        <w:t>Verwacht</w:t>
      </w:r>
      <w:r w:rsidRPr="000908DA">
        <w:rPr>
          <w:rFonts w:ascii="Cambria" w:hAnsi="Cambria"/>
          <w:color w:val="1F4E79" w:themeColor="accent1" w:themeShade="80"/>
        </w:rPr>
        <w:t xml:space="preserve"> IQ is boven de 85.</w:t>
      </w:r>
    </w:p>
    <w:p w14:paraId="540E40DD" w14:textId="04E343CE"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w:t>
      </w:r>
      <w:r w:rsidR="00272C59">
        <w:rPr>
          <w:rFonts w:ascii="Cambria" w:hAnsi="Cambria"/>
          <w:color w:val="1F4E79" w:themeColor="accent1" w:themeShade="80"/>
        </w:rPr>
        <w:t>Er is</w:t>
      </w:r>
      <w:r w:rsidRPr="000908DA">
        <w:rPr>
          <w:rFonts w:ascii="Cambria" w:hAnsi="Cambria"/>
          <w:color w:val="1F4E79" w:themeColor="accent1" w:themeShade="80"/>
        </w:rPr>
        <w:t xml:space="preserve"> mogelijk sprake van een verschil </w:t>
      </w:r>
      <w:r w:rsidR="00272C59">
        <w:rPr>
          <w:rFonts w:ascii="Cambria" w:hAnsi="Cambria"/>
          <w:color w:val="1F4E79" w:themeColor="accent1" w:themeShade="80"/>
        </w:rPr>
        <w:t xml:space="preserve">in resultaten </w:t>
      </w:r>
      <w:r w:rsidRPr="000908DA">
        <w:rPr>
          <w:rFonts w:ascii="Cambria" w:hAnsi="Cambria"/>
          <w:color w:val="1F4E79" w:themeColor="accent1" w:themeShade="80"/>
        </w:rPr>
        <w:t>met andere schoolvakken</w:t>
      </w:r>
      <w:r w:rsidR="00272C59">
        <w:rPr>
          <w:rFonts w:ascii="Cambria" w:hAnsi="Cambria"/>
          <w:color w:val="1F4E79" w:themeColor="accent1" w:themeShade="80"/>
        </w:rPr>
        <w:t>.</w:t>
      </w:r>
    </w:p>
    <w:p w14:paraId="41DB3786" w14:textId="77777777" w:rsidR="000908DA" w:rsidRPr="000908DA" w:rsidRDefault="000908DA" w:rsidP="000908DA">
      <w:pPr>
        <w:widowControl/>
        <w:suppressAutoHyphens w:val="0"/>
        <w:rPr>
          <w:rFonts w:ascii="Cambria" w:hAnsi="Cambria"/>
          <w:color w:val="1F4E79" w:themeColor="accent1" w:themeShade="80"/>
        </w:rPr>
      </w:pPr>
    </w:p>
    <w:p w14:paraId="11EDF656" w14:textId="77777777" w:rsidR="000908DA" w:rsidRPr="000908DA" w:rsidRDefault="000908DA" w:rsidP="000908DA">
      <w:pPr>
        <w:widowControl/>
        <w:suppressAutoHyphens w:val="0"/>
        <w:rPr>
          <w:rFonts w:ascii="Cambria" w:hAnsi="Cambria"/>
          <w:color w:val="1F4E79" w:themeColor="accent1" w:themeShade="80"/>
          <w:u w:val="single"/>
        </w:rPr>
      </w:pPr>
      <w:r w:rsidRPr="000908DA">
        <w:rPr>
          <w:rFonts w:ascii="Cambria" w:hAnsi="Cambria"/>
          <w:color w:val="1F4E79" w:themeColor="accent1" w:themeShade="80"/>
          <w:u w:val="single"/>
        </w:rPr>
        <w:t>Intakefase:</w:t>
      </w:r>
    </w:p>
    <w:p w14:paraId="710FEEDF" w14:textId="015F8B9A"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De volgende gegevens spelen een belangrijke rol voor de intakefase. Hierdoor krijgen we een goed beeld van de uitgevoerde interventies.</w:t>
      </w:r>
    </w:p>
    <w:p w14:paraId="0B4BD29B"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 uitdraai van het leerlingvolgsysteem LOVS</w:t>
      </w:r>
    </w:p>
    <w:p w14:paraId="76DB45DE" w14:textId="6119C570" w:rsidR="000908DA" w:rsidRPr="00F56AA9" w:rsidRDefault="000908DA" w:rsidP="000908DA">
      <w:pPr>
        <w:widowControl/>
        <w:suppressAutoHyphens w:val="0"/>
        <w:rPr>
          <w:rFonts w:ascii="Cambria" w:hAnsi="Cambria"/>
          <w:color w:val="EE0000"/>
        </w:rPr>
      </w:pPr>
      <w:r w:rsidRPr="000908DA">
        <w:rPr>
          <w:rFonts w:ascii="Cambria" w:hAnsi="Cambria"/>
          <w:color w:val="1F4E79" w:themeColor="accent1" w:themeShade="80"/>
        </w:rPr>
        <w:t xml:space="preserve">- </w:t>
      </w:r>
      <w:r>
        <w:rPr>
          <w:rFonts w:ascii="Cambria" w:hAnsi="Cambria"/>
          <w:color w:val="1F4E79" w:themeColor="accent1" w:themeShade="80"/>
        </w:rPr>
        <w:t>analys</w:t>
      </w:r>
      <w:r w:rsidRPr="004154FD">
        <w:rPr>
          <w:rFonts w:ascii="Cambria" w:hAnsi="Cambria"/>
          <w:color w:val="1F4E79" w:themeColor="accent1" w:themeShade="80"/>
        </w:rPr>
        <w:t>e observaties groep 2</w:t>
      </w:r>
      <w:r w:rsidR="001C2ADE" w:rsidRPr="004154FD">
        <w:rPr>
          <w:rFonts w:ascii="Cambria" w:hAnsi="Cambria"/>
          <w:color w:val="1F4E79" w:themeColor="accent1" w:themeShade="80"/>
        </w:rPr>
        <w:t xml:space="preserve"> (bijv. de informatie rondom de beslisboom beginnende geletterdheid)</w:t>
      </w:r>
    </w:p>
    <w:p w14:paraId="55145361"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 is er minimaal 3 keer per week 20 minuten gerichte instructie gegeven op het gebied van</w:t>
      </w:r>
    </w:p>
    <w:p w14:paraId="07CF824A" w14:textId="53DF5E83"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 xml:space="preserve">lezen en/of spelling in de verschillende interventieperiodes? </w:t>
      </w:r>
      <w:r w:rsidRPr="000908DA">
        <w:rPr>
          <w:rFonts w:ascii="Cambria" w:hAnsi="Cambria"/>
          <w:color w:val="1F4E79" w:themeColor="accent1" w:themeShade="80"/>
        </w:rPr>
        <w:sym w:font="Wingdings" w:char="F0E0"/>
      </w:r>
      <w:r w:rsidRPr="000908DA">
        <w:rPr>
          <w:rFonts w:ascii="Cambria" w:hAnsi="Cambria"/>
          <w:color w:val="1F4E79" w:themeColor="accent1" w:themeShade="80"/>
        </w:rPr>
        <w:t xml:space="preserve"> </w:t>
      </w:r>
      <w:r w:rsidR="00DA14A6">
        <w:rPr>
          <w:rFonts w:ascii="Cambria" w:hAnsi="Cambria"/>
          <w:color w:val="1F4E79" w:themeColor="accent1" w:themeShade="80"/>
        </w:rPr>
        <w:t xml:space="preserve">onderwijsaanbod </w:t>
      </w:r>
      <w:r w:rsidR="00371291">
        <w:rPr>
          <w:rFonts w:ascii="Cambria" w:hAnsi="Cambria"/>
          <w:color w:val="1F4E79" w:themeColor="accent1" w:themeShade="80"/>
        </w:rPr>
        <w:t xml:space="preserve">en daarmee geboden zorg </w:t>
      </w:r>
      <w:r w:rsidRPr="000908DA">
        <w:rPr>
          <w:rFonts w:ascii="Cambria" w:hAnsi="Cambria"/>
          <w:color w:val="1F4E79" w:themeColor="accent1" w:themeShade="80"/>
        </w:rPr>
        <w:t>verzamelen.</w:t>
      </w:r>
    </w:p>
    <w:p w14:paraId="3EC60063" w14:textId="77777777" w:rsidR="000908DA" w:rsidRPr="000908DA" w:rsidRDefault="000908DA" w:rsidP="000908DA">
      <w:pPr>
        <w:widowControl/>
        <w:suppressAutoHyphens w:val="0"/>
        <w:rPr>
          <w:rFonts w:ascii="Cambria" w:hAnsi="Cambria"/>
          <w:color w:val="1F4E79" w:themeColor="accent1" w:themeShade="80"/>
        </w:rPr>
      </w:pPr>
    </w:p>
    <w:p w14:paraId="4D09B5F3" w14:textId="77777777" w:rsidR="000908DA" w:rsidRPr="000908DA" w:rsidRDefault="000908DA" w:rsidP="000908DA">
      <w:pPr>
        <w:widowControl/>
        <w:suppressAutoHyphens w:val="0"/>
        <w:rPr>
          <w:rFonts w:ascii="Cambria" w:hAnsi="Cambria"/>
          <w:color w:val="1F4E79" w:themeColor="accent1" w:themeShade="80"/>
          <w:u w:val="single"/>
        </w:rPr>
      </w:pPr>
      <w:r w:rsidRPr="000908DA">
        <w:rPr>
          <w:rFonts w:ascii="Cambria" w:hAnsi="Cambria"/>
          <w:color w:val="1F4E79" w:themeColor="accent1" w:themeShade="80"/>
          <w:u w:val="single"/>
        </w:rPr>
        <w:t>Strategiefase:</w:t>
      </w:r>
    </w:p>
    <w:p w14:paraId="0895F8E8"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D.m.v. de didactisch resistentie checklist gaat men na of hardnekkigheid voldoende is aangetoond.</w:t>
      </w:r>
    </w:p>
    <w:p w14:paraId="7C7A96A6" w14:textId="77777777" w:rsidR="000908DA" w:rsidRPr="000908DA" w:rsidRDefault="000908DA" w:rsidP="000908DA">
      <w:pPr>
        <w:widowControl/>
        <w:suppressAutoHyphens w:val="0"/>
        <w:rPr>
          <w:rFonts w:ascii="Cambria" w:hAnsi="Cambria"/>
          <w:color w:val="1F4E79"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921"/>
        <w:gridCol w:w="922"/>
        <w:gridCol w:w="921"/>
        <w:gridCol w:w="922"/>
      </w:tblGrid>
      <w:tr w:rsidR="000908DA" w:rsidRPr="000908DA" w14:paraId="493A2CC9" w14:textId="77777777">
        <w:tc>
          <w:tcPr>
            <w:tcW w:w="9212" w:type="dxa"/>
            <w:gridSpan w:val="7"/>
            <w:shd w:val="clear" w:color="auto" w:fill="auto"/>
          </w:tcPr>
          <w:p w14:paraId="05F24B41"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Overweeg op basis van de verzamelde informatie</w:t>
            </w:r>
          </w:p>
          <w:p w14:paraId="3B3DB449"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wat de volgende stap moet worden.</w:t>
            </w:r>
          </w:p>
        </w:tc>
      </w:tr>
      <w:tr w:rsidR="000908DA" w:rsidRPr="000908DA" w14:paraId="6E480359" w14:textId="77777777">
        <w:tc>
          <w:tcPr>
            <w:tcW w:w="1842" w:type="dxa"/>
            <w:tcBorders>
              <w:left w:val="nil"/>
              <w:right w:val="nil"/>
            </w:tcBorders>
            <w:shd w:val="clear" w:color="auto" w:fill="auto"/>
          </w:tcPr>
          <w:p w14:paraId="57D4F3CF" w14:textId="77777777" w:rsidR="000908DA" w:rsidRPr="000908DA" w:rsidRDefault="000908DA" w:rsidP="000908DA">
            <w:pPr>
              <w:widowControl/>
              <w:suppressAutoHyphens w:val="0"/>
              <w:rPr>
                <w:rFonts w:ascii="Cambria" w:hAnsi="Cambria"/>
                <w:color w:val="1F4E79" w:themeColor="accent1" w:themeShade="80"/>
              </w:rPr>
            </w:pPr>
          </w:p>
        </w:tc>
        <w:tc>
          <w:tcPr>
            <w:tcW w:w="1842" w:type="dxa"/>
            <w:tcBorders>
              <w:left w:val="nil"/>
              <w:right w:val="nil"/>
            </w:tcBorders>
            <w:shd w:val="clear" w:color="auto" w:fill="auto"/>
          </w:tcPr>
          <w:p w14:paraId="1F9A2F68" w14:textId="77777777" w:rsidR="000908DA" w:rsidRPr="000908DA" w:rsidRDefault="000908DA" w:rsidP="000908DA">
            <w:pPr>
              <w:widowControl/>
              <w:suppressAutoHyphens w:val="0"/>
              <w:rPr>
                <w:rFonts w:ascii="Cambria" w:hAnsi="Cambria"/>
                <w:b/>
                <w:color w:val="1F4E79" w:themeColor="accent1" w:themeShade="80"/>
              </w:rPr>
            </w:pPr>
            <w:r w:rsidRPr="000908DA">
              <w:rPr>
                <w:rFonts w:ascii="Cambria" w:hAnsi="Cambria"/>
                <w:b/>
                <w:color w:val="1F4E79" w:themeColor="accent1" w:themeShade="80"/>
              </w:rPr>
              <w:t>↓</w:t>
            </w:r>
          </w:p>
        </w:tc>
        <w:tc>
          <w:tcPr>
            <w:tcW w:w="1842" w:type="dxa"/>
            <w:tcBorders>
              <w:left w:val="nil"/>
              <w:right w:val="nil"/>
            </w:tcBorders>
            <w:shd w:val="clear" w:color="auto" w:fill="auto"/>
          </w:tcPr>
          <w:p w14:paraId="79196F23" w14:textId="77777777" w:rsidR="000908DA" w:rsidRPr="000908DA" w:rsidRDefault="000908DA" w:rsidP="000908DA">
            <w:pPr>
              <w:widowControl/>
              <w:suppressAutoHyphens w:val="0"/>
              <w:rPr>
                <w:rFonts w:ascii="Cambria" w:hAnsi="Cambria"/>
                <w:color w:val="1F4E79" w:themeColor="accent1" w:themeShade="80"/>
              </w:rPr>
            </w:pPr>
          </w:p>
        </w:tc>
        <w:tc>
          <w:tcPr>
            <w:tcW w:w="921" w:type="dxa"/>
            <w:tcBorders>
              <w:left w:val="nil"/>
              <w:right w:val="nil"/>
            </w:tcBorders>
            <w:shd w:val="clear" w:color="auto" w:fill="auto"/>
          </w:tcPr>
          <w:p w14:paraId="5FC9810F" w14:textId="77777777" w:rsidR="000908DA" w:rsidRPr="000908DA" w:rsidRDefault="000908DA" w:rsidP="000908DA">
            <w:pPr>
              <w:widowControl/>
              <w:suppressAutoHyphens w:val="0"/>
              <w:rPr>
                <w:rFonts w:ascii="Cambria" w:hAnsi="Cambria"/>
                <w:color w:val="1F4E79" w:themeColor="accent1" w:themeShade="80"/>
              </w:rPr>
            </w:pPr>
          </w:p>
        </w:tc>
        <w:tc>
          <w:tcPr>
            <w:tcW w:w="1843" w:type="dxa"/>
            <w:gridSpan w:val="2"/>
            <w:tcBorders>
              <w:left w:val="nil"/>
              <w:right w:val="nil"/>
            </w:tcBorders>
            <w:shd w:val="clear" w:color="auto" w:fill="auto"/>
          </w:tcPr>
          <w:p w14:paraId="5068F34A"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b/>
                <w:color w:val="1F4E79" w:themeColor="accent1" w:themeShade="80"/>
              </w:rPr>
              <w:t>↓</w:t>
            </w:r>
          </w:p>
        </w:tc>
        <w:tc>
          <w:tcPr>
            <w:tcW w:w="922" w:type="dxa"/>
            <w:tcBorders>
              <w:left w:val="nil"/>
              <w:right w:val="nil"/>
            </w:tcBorders>
            <w:shd w:val="clear" w:color="auto" w:fill="auto"/>
          </w:tcPr>
          <w:p w14:paraId="654A4BBA" w14:textId="77777777" w:rsidR="000908DA" w:rsidRPr="000908DA" w:rsidRDefault="000908DA" w:rsidP="000908DA">
            <w:pPr>
              <w:widowControl/>
              <w:suppressAutoHyphens w:val="0"/>
              <w:rPr>
                <w:rFonts w:ascii="Cambria" w:hAnsi="Cambria"/>
                <w:color w:val="1F4E79" w:themeColor="accent1" w:themeShade="80"/>
              </w:rPr>
            </w:pPr>
          </w:p>
        </w:tc>
      </w:tr>
      <w:tr w:rsidR="000908DA" w:rsidRPr="000908DA" w14:paraId="6FF093CA" w14:textId="77777777">
        <w:tc>
          <w:tcPr>
            <w:tcW w:w="5526" w:type="dxa"/>
            <w:gridSpan w:val="3"/>
            <w:shd w:val="clear" w:color="auto" w:fill="auto"/>
          </w:tcPr>
          <w:p w14:paraId="5BB552EF"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Hardnekkigheid onvoldoende aangetoond?</w:t>
            </w:r>
          </w:p>
          <w:p w14:paraId="563B805A"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sym w:font="Wingdings" w:char="F0E0"/>
            </w:r>
            <w:r w:rsidRPr="000908DA">
              <w:rPr>
                <w:rFonts w:ascii="Cambria" w:hAnsi="Cambria"/>
                <w:color w:val="1F4E79" w:themeColor="accent1" w:themeShade="80"/>
              </w:rPr>
              <w:t xml:space="preserve"> plan van aanpak maken voor de gerichte hulp.</w:t>
            </w:r>
          </w:p>
        </w:tc>
        <w:tc>
          <w:tcPr>
            <w:tcW w:w="3686" w:type="dxa"/>
            <w:gridSpan w:val="4"/>
            <w:shd w:val="clear" w:color="auto" w:fill="auto"/>
          </w:tcPr>
          <w:p w14:paraId="43B7DB41"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Voldoende informatie verzameld?</w:t>
            </w:r>
          </w:p>
          <w:p w14:paraId="7F632F4A"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Hardnekkigheid voldoende aangetoond?</w:t>
            </w:r>
          </w:p>
          <w:p w14:paraId="1B1A328E"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sym w:font="Wingdings" w:char="F0E0"/>
            </w:r>
            <w:r w:rsidRPr="000908DA">
              <w:rPr>
                <w:rFonts w:ascii="Cambria" w:hAnsi="Cambria"/>
                <w:color w:val="1F4E79" w:themeColor="accent1" w:themeShade="80"/>
              </w:rPr>
              <w:t xml:space="preserve"> door naar onderzoeksfase</w:t>
            </w:r>
          </w:p>
          <w:p w14:paraId="5712310D" w14:textId="77777777" w:rsidR="000908DA" w:rsidRPr="000908DA" w:rsidRDefault="000908DA" w:rsidP="000908DA">
            <w:pPr>
              <w:widowControl/>
              <w:suppressAutoHyphens w:val="0"/>
              <w:rPr>
                <w:rFonts w:ascii="Cambria" w:hAnsi="Cambria"/>
                <w:color w:val="1F4E79" w:themeColor="accent1" w:themeShade="80"/>
              </w:rPr>
            </w:pPr>
          </w:p>
        </w:tc>
      </w:tr>
      <w:tr w:rsidR="000908DA" w:rsidRPr="000908DA" w14:paraId="239662FD" w14:textId="77777777">
        <w:tc>
          <w:tcPr>
            <w:tcW w:w="1842" w:type="dxa"/>
            <w:tcBorders>
              <w:top w:val="nil"/>
              <w:left w:val="nil"/>
              <w:right w:val="nil"/>
            </w:tcBorders>
            <w:shd w:val="clear" w:color="auto" w:fill="auto"/>
          </w:tcPr>
          <w:p w14:paraId="7B62A4F0"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b/>
                <w:color w:val="1F4E79" w:themeColor="accent1" w:themeShade="80"/>
              </w:rPr>
              <w:t>↓</w:t>
            </w:r>
          </w:p>
        </w:tc>
        <w:tc>
          <w:tcPr>
            <w:tcW w:w="1842" w:type="dxa"/>
            <w:tcBorders>
              <w:left w:val="nil"/>
              <w:bottom w:val="nil"/>
              <w:right w:val="nil"/>
            </w:tcBorders>
            <w:shd w:val="clear" w:color="auto" w:fill="auto"/>
          </w:tcPr>
          <w:p w14:paraId="125E956F" w14:textId="77777777" w:rsidR="000908DA" w:rsidRPr="000908DA" w:rsidRDefault="000908DA" w:rsidP="000908DA">
            <w:pPr>
              <w:widowControl/>
              <w:suppressAutoHyphens w:val="0"/>
              <w:rPr>
                <w:rFonts w:ascii="Cambria" w:hAnsi="Cambria"/>
                <w:color w:val="1F4E79" w:themeColor="accent1" w:themeShade="80"/>
              </w:rPr>
            </w:pPr>
          </w:p>
        </w:tc>
        <w:tc>
          <w:tcPr>
            <w:tcW w:w="1842" w:type="dxa"/>
            <w:tcBorders>
              <w:left w:val="nil"/>
              <w:right w:val="nil"/>
            </w:tcBorders>
            <w:shd w:val="clear" w:color="auto" w:fill="auto"/>
          </w:tcPr>
          <w:p w14:paraId="51977BBF"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b/>
                <w:color w:val="1F4E79" w:themeColor="accent1" w:themeShade="80"/>
              </w:rPr>
              <w:t>↓</w:t>
            </w:r>
          </w:p>
        </w:tc>
        <w:tc>
          <w:tcPr>
            <w:tcW w:w="1843" w:type="dxa"/>
            <w:gridSpan w:val="2"/>
            <w:tcBorders>
              <w:left w:val="nil"/>
              <w:bottom w:val="nil"/>
              <w:right w:val="nil"/>
            </w:tcBorders>
            <w:shd w:val="clear" w:color="auto" w:fill="auto"/>
          </w:tcPr>
          <w:p w14:paraId="3B731F9C" w14:textId="77777777" w:rsidR="000908DA" w:rsidRPr="000908DA" w:rsidRDefault="000908DA" w:rsidP="000908DA">
            <w:pPr>
              <w:widowControl/>
              <w:suppressAutoHyphens w:val="0"/>
              <w:rPr>
                <w:rFonts w:ascii="Cambria" w:hAnsi="Cambria"/>
                <w:color w:val="1F4E79" w:themeColor="accent1" w:themeShade="80"/>
              </w:rPr>
            </w:pPr>
          </w:p>
        </w:tc>
        <w:tc>
          <w:tcPr>
            <w:tcW w:w="1843" w:type="dxa"/>
            <w:gridSpan w:val="2"/>
            <w:tcBorders>
              <w:left w:val="nil"/>
              <w:bottom w:val="nil"/>
              <w:right w:val="nil"/>
            </w:tcBorders>
            <w:shd w:val="clear" w:color="auto" w:fill="auto"/>
          </w:tcPr>
          <w:p w14:paraId="4A90799D" w14:textId="77777777" w:rsidR="000908DA" w:rsidRPr="000908DA" w:rsidRDefault="000908DA" w:rsidP="000908DA">
            <w:pPr>
              <w:widowControl/>
              <w:suppressAutoHyphens w:val="0"/>
              <w:rPr>
                <w:rFonts w:ascii="Cambria" w:hAnsi="Cambria"/>
                <w:color w:val="1F4E79" w:themeColor="accent1" w:themeShade="80"/>
              </w:rPr>
            </w:pPr>
          </w:p>
        </w:tc>
      </w:tr>
      <w:tr w:rsidR="000908DA" w:rsidRPr="000908DA" w14:paraId="586D333F" w14:textId="77777777">
        <w:tc>
          <w:tcPr>
            <w:tcW w:w="1842" w:type="dxa"/>
            <w:shd w:val="clear" w:color="auto" w:fill="auto"/>
          </w:tcPr>
          <w:p w14:paraId="5B604D6A"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Probleem opgelost</w:t>
            </w:r>
          </w:p>
          <w:p w14:paraId="1886BC9E"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(ook op lange termijn?)</w:t>
            </w:r>
          </w:p>
          <w:p w14:paraId="03FEBC77"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sym w:font="Wingdings" w:char="F0E0"/>
            </w:r>
            <w:r w:rsidRPr="000908DA">
              <w:rPr>
                <w:rFonts w:ascii="Cambria" w:hAnsi="Cambria"/>
                <w:color w:val="1F4E79" w:themeColor="accent1" w:themeShade="80"/>
              </w:rPr>
              <w:t xml:space="preserve"> geen onderzoek nodig</w:t>
            </w:r>
          </w:p>
          <w:p w14:paraId="5E90C425" w14:textId="77777777" w:rsidR="000908DA" w:rsidRPr="000908DA" w:rsidRDefault="000908DA" w:rsidP="000908DA">
            <w:pPr>
              <w:widowControl/>
              <w:suppressAutoHyphens w:val="0"/>
              <w:rPr>
                <w:rFonts w:ascii="Cambria" w:hAnsi="Cambria"/>
                <w:color w:val="1F4E79" w:themeColor="accent1" w:themeShade="80"/>
              </w:rPr>
            </w:pPr>
          </w:p>
        </w:tc>
        <w:tc>
          <w:tcPr>
            <w:tcW w:w="1842" w:type="dxa"/>
            <w:tcBorders>
              <w:top w:val="nil"/>
              <w:bottom w:val="nil"/>
            </w:tcBorders>
            <w:shd w:val="clear" w:color="auto" w:fill="auto"/>
          </w:tcPr>
          <w:p w14:paraId="72C1B201" w14:textId="77777777" w:rsidR="000908DA" w:rsidRPr="000908DA" w:rsidRDefault="000908DA" w:rsidP="000908DA">
            <w:pPr>
              <w:widowControl/>
              <w:suppressAutoHyphens w:val="0"/>
              <w:rPr>
                <w:rFonts w:ascii="Cambria" w:hAnsi="Cambria"/>
                <w:color w:val="1F4E79" w:themeColor="accent1" w:themeShade="80"/>
              </w:rPr>
            </w:pPr>
          </w:p>
        </w:tc>
        <w:tc>
          <w:tcPr>
            <w:tcW w:w="1842" w:type="dxa"/>
            <w:shd w:val="clear" w:color="auto" w:fill="auto"/>
          </w:tcPr>
          <w:p w14:paraId="0BD6C627"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Kind heeft onvoldoende baat bij de</w:t>
            </w:r>
          </w:p>
          <w:p w14:paraId="497C8E53"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gerichte hulp die extra is geboden.</w:t>
            </w:r>
          </w:p>
          <w:p w14:paraId="4A6CDCEB"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sym w:font="Wingdings" w:char="F0E0"/>
            </w:r>
            <w:r w:rsidRPr="000908DA">
              <w:rPr>
                <w:rFonts w:ascii="Cambria" w:hAnsi="Cambria"/>
                <w:color w:val="1F4E79" w:themeColor="accent1" w:themeShade="80"/>
              </w:rPr>
              <w:t xml:space="preserve"> door naar onderzoeksfase</w:t>
            </w:r>
          </w:p>
        </w:tc>
        <w:tc>
          <w:tcPr>
            <w:tcW w:w="1843" w:type="dxa"/>
            <w:gridSpan w:val="2"/>
            <w:tcBorders>
              <w:top w:val="nil"/>
              <w:bottom w:val="nil"/>
              <w:right w:val="nil"/>
            </w:tcBorders>
            <w:shd w:val="clear" w:color="auto" w:fill="auto"/>
          </w:tcPr>
          <w:p w14:paraId="4D640A3F" w14:textId="77777777" w:rsidR="000908DA" w:rsidRPr="000908DA" w:rsidRDefault="000908DA" w:rsidP="000908DA">
            <w:pPr>
              <w:widowControl/>
              <w:suppressAutoHyphens w:val="0"/>
              <w:rPr>
                <w:rFonts w:ascii="Cambria" w:hAnsi="Cambria"/>
                <w:color w:val="1F4E79" w:themeColor="accent1" w:themeShade="80"/>
              </w:rPr>
            </w:pPr>
          </w:p>
        </w:tc>
        <w:tc>
          <w:tcPr>
            <w:tcW w:w="1843" w:type="dxa"/>
            <w:gridSpan w:val="2"/>
            <w:tcBorders>
              <w:top w:val="nil"/>
              <w:left w:val="nil"/>
              <w:bottom w:val="nil"/>
              <w:right w:val="nil"/>
            </w:tcBorders>
            <w:shd w:val="clear" w:color="auto" w:fill="auto"/>
          </w:tcPr>
          <w:p w14:paraId="11E9FBCA" w14:textId="77777777" w:rsidR="000908DA" w:rsidRPr="000908DA" w:rsidRDefault="000908DA" w:rsidP="000908DA">
            <w:pPr>
              <w:widowControl/>
              <w:suppressAutoHyphens w:val="0"/>
              <w:rPr>
                <w:rFonts w:ascii="Cambria" w:hAnsi="Cambria"/>
                <w:color w:val="1F4E79" w:themeColor="accent1" w:themeShade="80"/>
              </w:rPr>
            </w:pPr>
          </w:p>
        </w:tc>
      </w:tr>
    </w:tbl>
    <w:p w14:paraId="7053E0EF" w14:textId="77777777" w:rsidR="000908DA" w:rsidRPr="000908DA" w:rsidRDefault="000908DA" w:rsidP="000908DA">
      <w:pPr>
        <w:widowControl/>
        <w:suppressAutoHyphens w:val="0"/>
        <w:rPr>
          <w:rFonts w:ascii="Cambria" w:hAnsi="Cambria"/>
          <w:color w:val="1F4E79" w:themeColor="accent1" w:themeShade="80"/>
        </w:rPr>
      </w:pPr>
    </w:p>
    <w:p w14:paraId="575F0337" w14:textId="77777777" w:rsidR="00B84517" w:rsidRDefault="000908DA" w:rsidP="000908DA">
      <w:pPr>
        <w:widowControl/>
        <w:suppressAutoHyphens w:val="0"/>
        <w:rPr>
          <w:rFonts w:ascii="Cambria" w:hAnsi="Cambria"/>
          <w:color w:val="1F4E79" w:themeColor="accent1" w:themeShade="80"/>
          <w:u w:val="single"/>
        </w:rPr>
      </w:pPr>
      <w:r w:rsidRPr="000908DA">
        <w:rPr>
          <w:rFonts w:ascii="Cambria" w:hAnsi="Cambria"/>
          <w:color w:val="1F4E79" w:themeColor="accent1" w:themeShade="80"/>
          <w:u w:val="single"/>
        </w:rPr>
        <w:br w:type="page"/>
      </w:r>
      <w:r w:rsidRPr="000908DA">
        <w:rPr>
          <w:rFonts w:ascii="Cambria" w:hAnsi="Cambria"/>
          <w:color w:val="1F4E79" w:themeColor="accent1" w:themeShade="80"/>
          <w:u w:val="single"/>
        </w:rPr>
        <w:lastRenderedPageBreak/>
        <w:t>Onderzoeksfase &amp; Integratie- en indiceringsfase:</w:t>
      </w:r>
    </w:p>
    <w:p w14:paraId="01801C6C" w14:textId="075612D1" w:rsidR="000908DA" w:rsidRPr="00B30462" w:rsidRDefault="00B84517" w:rsidP="000908DA">
      <w:pPr>
        <w:widowControl/>
        <w:suppressAutoHyphens w:val="0"/>
        <w:rPr>
          <w:rFonts w:ascii="Cambria" w:hAnsi="Cambria"/>
          <w:color w:val="1F4E79" w:themeColor="accent1" w:themeShade="80"/>
          <w:u w:val="single"/>
        </w:rPr>
      </w:pPr>
      <w:r w:rsidRPr="00B30462">
        <w:rPr>
          <w:rFonts w:ascii="Cambria" w:hAnsi="Cambria"/>
          <w:color w:val="1F4E79" w:themeColor="accent1" w:themeShade="80"/>
        </w:rPr>
        <w:t>D</w:t>
      </w:r>
      <w:r w:rsidR="000908DA" w:rsidRPr="00B30462">
        <w:rPr>
          <w:rFonts w:ascii="Cambria" w:hAnsi="Cambria"/>
          <w:color w:val="1F4E79" w:themeColor="accent1" w:themeShade="80"/>
        </w:rPr>
        <w:t xml:space="preserve">e vergoeding van diagnose en behandeling van ernstige en enkelvoudige dyslexie </w:t>
      </w:r>
      <w:r w:rsidR="004C0821" w:rsidRPr="00B30462">
        <w:rPr>
          <w:rFonts w:ascii="Cambria" w:hAnsi="Cambria"/>
          <w:color w:val="1F4E79" w:themeColor="accent1" w:themeShade="80"/>
        </w:rPr>
        <w:t>wordt vergoed door de gemeente</w:t>
      </w:r>
      <w:r w:rsidR="00497209" w:rsidRPr="00B30462">
        <w:rPr>
          <w:rFonts w:ascii="Cambria" w:hAnsi="Cambria"/>
          <w:color w:val="1F4E79" w:themeColor="accent1" w:themeShade="80"/>
        </w:rPr>
        <w:t>.</w:t>
      </w:r>
      <w:r w:rsidR="000908DA" w:rsidRPr="00B30462">
        <w:rPr>
          <w:rFonts w:ascii="Cambria" w:hAnsi="Cambria"/>
          <w:color w:val="1F4E79" w:themeColor="accent1" w:themeShade="80"/>
        </w:rPr>
        <w:t xml:space="preserve"> De aanmelding voor deze vergoedingsregeling verloopt via ouders. Ouders bellen zelf naar </w:t>
      </w:r>
      <w:r w:rsidR="00C668F1" w:rsidRPr="00B30462">
        <w:rPr>
          <w:rFonts w:ascii="Cambria" w:hAnsi="Cambria"/>
          <w:color w:val="1F4E79" w:themeColor="accent1" w:themeShade="80"/>
        </w:rPr>
        <w:t xml:space="preserve">een </w:t>
      </w:r>
      <w:r w:rsidR="005D22A1" w:rsidRPr="00B30462">
        <w:rPr>
          <w:rFonts w:ascii="Cambria" w:hAnsi="Cambria"/>
          <w:color w:val="1F4E79" w:themeColor="accent1" w:themeShade="80"/>
        </w:rPr>
        <w:t>aangesloten onderzoeksbureau (bijv. RID, Athena)</w:t>
      </w:r>
      <w:r w:rsidR="000908DA" w:rsidRPr="00B30462">
        <w:rPr>
          <w:rFonts w:ascii="Cambria" w:hAnsi="Cambria"/>
          <w:color w:val="1F4E79" w:themeColor="accent1" w:themeShade="80"/>
        </w:rPr>
        <w:t xml:space="preserve"> voor aanmelding. Van bovenstaande route wordt alleen de signaleringsfase gevolgd. Hierop volgend komen formulieren vanuit het RID. Het traject wordt verder voortgezet vanuit het RID. </w:t>
      </w:r>
    </w:p>
    <w:p w14:paraId="6DEF591D" w14:textId="77777777" w:rsidR="000908DA" w:rsidRPr="000908DA" w:rsidRDefault="000908DA" w:rsidP="000908DA">
      <w:pPr>
        <w:widowControl/>
        <w:suppressAutoHyphens w:val="0"/>
        <w:rPr>
          <w:rFonts w:ascii="Cambria" w:hAnsi="Cambria"/>
          <w:color w:val="1F4E79" w:themeColor="accent1" w:themeShade="80"/>
        </w:rPr>
      </w:pPr>
    </w:p>
    <w:p w14:paraId="123A922B" w14:textId="77777777" w:rsidR="000908DA" w:rsidRPr="000908DA" w:rsidRDefault="000908DA" w:rsidP="000908DA">
      <w:pPr>
        <w:widowControl/>
        <w:suppressAutoHyphens w:val="0"/>
        <w:rPr>
          <w:rFonts w:ascii="Cambria" w:hAnsi="Cambria"/>
          <w:color w:val="1F4E79" w:themeColor="accent1" w:themeShade="80"/>
          <w:u w:val="single"/>
        </w:rPr>
      </w:pPr>
      <w:r w:rsidRPr="000908DA">
        <w:rPr>
          <w:rFonts w:ascii="Cambria" w:hAnsi="Cambria"/>
          <w:color w:val="1F4E79" w:themeColor="accent1" w:themeShade="80"/>
          <w:u w:val="single"/>
        </w:rPr>
        <w:t>Adviesfase:</w:t>
      </w:r>
    </w:p>
    <w:p w14:paraId="6C062CFF" w14:textId="77777777" w:rsidR="000908DA" w:rsidRPr="000908DA" w:rsidRDefault="000908DA" w:rsidP="000908DA">
      <w:pPr>
        <w:widowControl/>
        <w:suppressAutoHyphens w:val="0"/>
        <w:rPr>
          <w:rFonts w:ascii="Cambria" w:hAnsi="Cambria"/>
          <w:color w:val="1F4E79" w:themeColor="accent1" w:themeShade="80"/>
        </w:rPr>
      </w:pPr>
      <w:r w:rsidRPr="000908DA">
        <w:rPr>
          <w:rFonts w:ascii="Cambria" w:hAnsi="Cambria"/>
          <w:color w:val="1F4E79" w:themeColor="accent1" w:themeShade="80"/>
        </w:rPr>
        <w:t>De adviesfase bestaat uit gerichte adviezen voor dat specifieke kind (dus na de definitieve diagnose).</w:t>
      </w:r>
    </w:p>
    <w:p w14:paraId="43F92760" w14:textId="11E34791" w:rsidR="000908DA" w:rsidRPr="00F56AA9" w:rsidRDefault="000908DA" w:rsidP="000908DA">
      <w:pPr>
        <w:widowControl/>
        <w:suppressAutoHyphens w:val="0"/>
        <w:rPr>
          <w:rFonts w:ascii="Cambria" w:hAnsi="Cambria"/>
          <w:color w:val="EE0000"/>
        </w:rPr>
      </w:pPr>
      <w:r w:rsidRPr="000908DA">
        <w:rPr>
          <w:rFonts w:ascii="Cambria" w:hAnsi="Cambria"/>
          <w:color w:val="1F4E79" w:themeColor="accent1" w:themeShade="80"/>
        </w:rPr>
        <w:t>Mocht er geen sprake zijn van dyslexie, maar van een lees/spelling achterstand</w:t>
      </w:r>
      <w:r w:rsidR="00953154">
        <w:rPr>
          <w:rFonts w:ascii="Cambria" w:hAnsi="Cambria"/>
          <w:color w:val="1F4E79" w:themeColor="accent1" w:themeShade="80"/>
        </w:rPr>
        <w:t>, d</w:t>
      </w:r>
      <w:r w:rsidRPr="000908DA">
        <w:rPr>
          <w:rFonts w:ascii="Cambria" w:hAnsi="Cambria"/>
          <w:color w:val="1F4E79" w:themeColor="accent1" w:themeShade="80"/>
        </w:rPr>
        <w:t xml:space="preserve">an zal de school </w:t>
      </w:r>
      <w:r w:rsidRPr="004154FD">
        <w:rPr>
          <w:rFonts w:ascii="Cambria" w:hAnsi="Cambria"/>
          <w:color w:val="1F4E79" w:themeColor="accent1" w:themeShade="80"/>
        </w:rPr>
        <w:t xml:space="preserve">hier extra begeleiding op zetten door middel van extra instructie in de klas. </w:t>
      </w:r>
      <w:r w:rsidR="00F56AA9" w:rsidRPr="004154FD">
        <w:rPr>
          <w:rFonts w:ascii="Cambria" w:hAnsi="Cambria"/>
          <w:color w:val="1F4E79" w:themeColor="accent1" w:themeShade="80"/>
        </w:rPr>
        <w:t xml:space="preserve">Dit aanbod staat beschreven in de kwaliteitskaart spelling, zorgniveau 3. </w:t>
      </w:r>
    </w:p>
    <w:p w14:paraId="486867B7" w14:textId="77777777" w:rsidR="000908DA" w:rsidRPr="000908DA" w:rsidRDefault="000908DA" w:rsidP="000908DA">
      <w:pPr>
        <w:widowControl/>
        <w:suppressAutoHyphens w:val="0"/>
        <w:rPr>
          <w:rFonts w:ascii="Cambria" w:hAnsi="Cambria"/>
          <w:color w:val="1F4E79" w:themeColor="accent1" w:themeShade="80"/>
        </w:rPr>
      </w:pPr>
    </w:p>
    <w:p w14:paraId="39AB9C1A" w14:textId="77777777" w:rsidR="000908DA" w:rsidRPr="00A8728C" w:rsidRDefault="000908DA" w:rsidP="000908DA">
      <w:pPr>
        <w:widowControl/>
        <w:suppressAutoHyphens w:val="0"/>
        <w:rPr>
          <w:rFonts w:ascii="Cambria" w:hAnsi="Cambria"/>
          <w:color w:val="1F4E79" w:themeColor="accent1" w:themeShade="80"/>
          <w:u w:val="single"/>
        </w:rPr>
      </w:pPr>
      <w:r w:rsidRPr="00A8728C">
        <w:rPr>
          <w:rFonts w:ascii="Cambria" w:hAnsi="Cambria"/>
          <w:color w:val="1F4E79" w:themeColor="accent1" w:themeShade="80"/>
          <w:u w:val="single"/>
        </w:rPr>
        <w:t>Aanpak voor dyslectische kinderen in de klas op De Willibrord:</w:t>
      </w:r>
    </w:p>
    <w:p w14:paraId="1EC1AAE3" w14:textId="70C5640F" w:rsidR="0016017A" w:rsidRDefault="00717517" w:rsidP="00717517">
      <w:pPr>
        <w:widowControl/>
        <w:suppressAutoHyphens w:val="0"/>
        <w:rPr>
          <w:rFonts w:ascii="Cambria" w:hAnsi="Cambria"/>
          <w:color w:val="1F4E79" w:themeColor="accent1" w:themeShade="80"/>
        </w:rPr>
      </w:pPr>
      <w:r>
        <w:rPr>
          <w:rFonts w:ascii="Cambria" w:hAnsi="Cambria"/>
          <w:color w:val="1F4E79" w:themeColor="accent1" w:themeShade="80"/>
        </w:rPr>
        <w:t xml:space="preserve">Kinderen met dyslexie hebben een aanvullende ondersteuningsbehoefte. </w:t>
      </w:r>
      <w:r w:rsidR="009A7A4D">
        <w:rPr>
          <w:rFonts w:ascii="Cambria" w:hAnsi="Cambria"/>
          <w:color w:val="1F4E79" w:themeColor="accent1" w:themeShade="80"/>
        </w:rPr>
        <w:t xml:space="preserve">Binnen kindcentrum </w:t>
      </w:r>
      <w:r>
        <w:rPr>
          <w:rFonts w:ascii="Cambria" w:hAnsi="Cambria"/>
          <w:color w:val="1F4E79" w:themeColor="accent1" w:themeShade="80"/>
        </w:rPr>
        <w:t xml:space="preserve">Willibrord proberen we deze kinderen zo goed mogelijk te ondersteunen, binnen onze mogelijkheden en de toegestane mogelijkheden. </w:t>
      </w:r>
      <w:r w:rsidR="00A8728C">
        <w:rPr>
          <w:rFonts w:ascii="Cambria" w:hAnsi="Cambria"/>
          <w:color w:val="1F4E79" w:themeColor="accent1" w:themeShade="80"/>
        </w:rPr>
        <w:t xml:space="preserve">Daarnaast is het van belang om naar het kind te kijken, en welke ondersteuning bij het kind aansluit. </w:t>
      </w:r>
    </w:p>
    <w:p w14:paraId="3C1C5F82" w14:textId="2788DAC4" w:rsidR="00717517" w:rsidRDefault="00717517" w:rsidP="00717517">
      <w:pPr>
        <w:widowControl/>
        <w:suppressAutoHyphens w:val="0"/>
        <w:rPr>
          <w:rFonts w:ascii="Cambria" w:hAnsi="Cambria"/>
          <w:color w:val="1F4E79" w:themeColor="accent1" w:themeShade="80"/>
        </w:rPr>
      </w:pPr>
    </w:p>
    <w:p w14:paraId="483D5131" w14:textId="137E2A8A" w:rsidR="00717517" w:rsidRDefault="00717517" w:rsidP="00717517">
      <w:pPr>
        <w:widowControl/>
        <w:suppressAutoHyphens w:val="0"/>
        <w:rPr>
          <w:rFonts w:ascii="Cambria" w:hAnsi="Cambria"/>
          <w:color w:val="1F4E79" w:themeColor="accent1" w:themeShade="80"/>
        </w:rPr>
      </w:pPr>
      <w:r>
        <w:rPr>
          <w:rFonts w:ascii="Cambria" w:hAnsi="Cambria"/>
          <w:color w:val="1F4E79" w:themeColor="accent1" w:themeShade="80"/>
        </w:rPr>
        <w:t xml:space="preserve">In de </w:t>
      </w:r>
      <w:r w:rsidR="00136EE9">
        <w:rPr>
          <w:rFonts w:ascii="Cambria" w:hAnsi="Cambria"/>
          <w:color w:val="1F4E79" w:themeColor="accent1" w:themeShade="80"/>
        </w:rPr>
        <w:t>groep</w:t>
      </w:r>
      <w:r>
        <w:rPr>
          <w:rFonts w:ascii="Cambria" w:hAnsi="Cambria"/>
          <w:color w:val="1F4E79" w:themeColor="accent1" w:themeShade="80"/>
        </w:rPr>
        <w:t>:</w:t>
      </w:r>
    </w:p>
    <w:p w14:paraId="19221F79" w14:textId="3A983591" w:rsidR="00717517" w:rsidRDefault="00717517" w:rsidP="00717517">
      <w:pPr>
        <w:pStyle w:val="Lijstalinea"/>
        <w:widowControl/>
        <w:numPr>
          <w:ilvl w:val="0"/>
          <w:numId w:val="8"/>
        </w:numPr>
        <w:suppressAutoHyphens w:val="0"/>
        <w:rPr>
          <w:rFonts w:ascii="Cambria" w:hAnsi="Cambria"/>
          <w:color w:val="1F4E79" w:themeColor="accent1" w:themeShade="80"/>
        </w:rPr>
      </w:pPr>
      <w:r>
        <w:rPr>
          <w:rFonts w:ascii="Cambria" w:hAnsi="Cambria"/>
          <w:color w:val="1F4E79" w:themeColor="accent1" w:themeShade="80"/>
        </w:rPr>
        <w:t xml:space="preserve">Kinderen hebben de mogelijkheid om de opgaven binnen Snappet voor te laten lezen. Met behulp van een koptelefoon kunnen zij dit uitgebreid terug luisteren. </w:t>
      </w:r>
    </w:p>
    <w:p w14:paraId="4F98A0B4" w14:textId="031759B3" w:rsidR="00717517" w:rsidRDefault="00717517" w:rsidP="00717517">
      <w:pPr>
        <w:pStyle w:val="Lijstalinea"/>
        <w:widowControl/>
        <w:numPr>
          <w:ilvl w:val="0"/>
          <w:numId w:val="8"/>
        </w:numPr>
        <w:suppressAutoHyphens w:val="0"/>
        <w:rPr>
          <w:rFonts w:ascii="Cambria" w:hAnsi="Cambria"/>
          <w:color w:val="1F4E79" w:themeColor="accent1" w:themeShade="80"/>
        </w:rPr>
      </w:pPr>
      <w:r>
        <w:rPr>
          <w:rFonts w:ascii="Cambria" w:hAnsi="Cambria"/>
          <w:color w:val="1F4E79" w:themeColor="accent1" w:themeShade="80"/>
        </w:rPr>
        <w:t xml:space="preserve">Waar nodig </w:t>
      </w:r>
      <w:r w:rsidR="00A8728C">
        <w:rPr>
          <w:rFonts w:ascii="Cambria" w:hAnsi="Cambria"/>
          <w:color w:val="1F4E79" w:themeColor="accent1" w:themeShade="80"/>
        </w:rPr>
        <w:t xml:space="preserve">krijgen de kinderen </w:t>
      </w:r>
      <w:r>
        <w:rPr>
          <w:rFonts w:ascii="Cambria" w:hAnsi="Cambria"/>
          <w:color w:val="1F4E79" w:themeColor="accent1" w:themeShade="80"/>
        </w:rPr>
        <w:t>verlengde instructie.</w:t>
      </w:r>
    </w:p>
    <w:p w14:paraId="396FB991" w14:textId="77777777" w:rsidR="00717517" w:rsidRDefault="00717517" w:rsidP="00717517">
      <w:pPr>
        <w:pStyle w:val="Lijstalinea"/>
        <w:widowControl/>
        <w:numPr>
          <w:ilvl w:val="0"/>
          <w:numId w:val="8"/>
        </w:numPr>
        <w:suppressAutoHyphens w:val="0"/>
        <w:rPr>
          <w:rFonts w:ascii="Cambria" w:hAnsi="Cambria"/>
          <w:color w:val="1F4E79" w:themeColor="accent1" w:themeShade="80"/>
        </w:rPr>
      </w:pPr>
      <w:r>
        <w:rPr>
          <w:rFonts w:ascii="Cambria" w:hAnsi="Cambria"/>
          <w:color w:val="1F4E79" w:themeColor="accent1" w:themeShade="80"/>
        </w:rPr>
        <w:t>De kinderen krijgen extra tijd bij het maken van toetsen zodat zij geen tijdsdruk ervaren</w:t>
      </w:r>
    </w:p>
    <w:p w14:paraId="571986C0" w14:textId="633096A5" w:rsidR="00717517" w:rsidRDefault="00717517" w:rsidP="00717517">
      <w:pPr>
        <w:pStyle w:val="Lijstalinea"/>
        <w:widowControl/>
        <w:numPr>
          <w:ilvl w:val="0"/>
          <w:numId w:val="8"/>
        </w:numPr>
        <w:suppressAutoHyphens w:val="0"/>
        <w:rPr>
          <w:rFonts w:ascii="Cambria" w:hAnsi="Cambria"/>
          <w:color w:val="1F4E79" w:themeColor="accent1" w:themeShade="80"/>
        </w:rPr>
      </w:pPr>
      <w:r>
        <w:rPr>
          <w:rFonts w:ascii="Cambria" w:hAnsi="Cambria"/>
          <w:color w:val="1F4E79" w:themeColor="accent1" w:themeShade="80"/>
        </w:rPr>
        <w:t xml:space="preserve">De kinderen </w:t>
      </w:r>
      <w:r w:rsidR="00A3606C">
        <w:rPr>
          <w:rFonts w:ascii="Cambria" w:hAnsi="Cambria"/>
          <w:color w:val="1F4E79" w:themeColor="accent1" w:themeShade="80"/>
        </w:rPr>
        <w:t>kunnen</w:t>
      </w:r>
      <w:r>
        <w:rPr>
          <w:rFonts w:ascii="Cambria" w:hAnsi="Cambria"/>
          <w:color w:val="1F4E79" w:themeColor="accent1" w:themeShade="80"/>
        </w:rPr>
        <w:t xml:space="preserve"> een vergrote kopie van de toets</w:t>
      </w:r>
      <w:r w:rsidR="00FC03FC">
        <w:rPr>
          <w:rFonts w:ascii="Cambria" w:hAnsi="Cambria"/>
          <w:color w:val="1F4E79" w:themeColor="accent1" w:themeShade="80"/>
        </w:rPr>
        <w:t xml:space="preserve"> </w:t>
      </w:r>
      <w:r w:rsidR="00A3606C">
        <w:rPr>
          <w:rFonts w:ascii="Cambria" w:hAnsi="Cambria"/>
          <w:color w:val="1F4E79" w:themeColor="accent1" w:themeShade="80"/>
        </w:rPr>
        <w:t xml:space="preserve">krijgen </w:t>
      </w:r>
      <w:r w:rsidR="00FC03FC">
        <w:rPr>
          <w:rFonts w:ascii="Cambria" w:hAnsi="Cambria"/>
          <w:color w:val="1F4E79" w:themeColor="accent1" w:themeShade="80"/>
        </w:rPr>
        <w:t>als ze dit prettig vinden</w:t>
      </w:r>
      <w:r w:rsidR="00A8728C">
        <w:rPr>
          <w:rFonts w:ascii="Cambria" w:hAnsi="Cambria"/>
          <w:color w:val="1F4E79" w:themeColor="accent1" w:themeShade="80"/>
        </w:rPr>
        <w:t>.</w:t>
      </w:r>
    </w:p>
    <w:p w14:paraId="3CF6DF58" w14:textId="3111B3E7" w:rsidR="00717517" w:rsidRDefault="00717517" w:rsidP="00717517">
      <w:pPr>
        <w:pStyle w:val="Lijstalinea"/>
        <w:widowControl/>
        <w:numPr>
          <w:ilvl w:val="0"/>
          <w:numId w:val="8"/>
        </w:numPr>
        <w:suppressAutoHyphens w:val="0"/>
        <w:rPr>
          <w:rFonts w:ascii="Cambria" w:hAnsi="Cambria"/>
          <w:color w:val="1F4E79" w:themeColor="accent1" w:themeShade="80"/>
        </w:rPr>
      </w:pPr>
      <w:r>
        <w:rPr>
          <w:rFonts w:ascii="Cambria" w:hAnsi="Cambria"/>
          <w:color w:val="1F4E79" w:themeColor="accent1" w:themeShade="80"/>
        </w:rPr>
        <w:t xml:space="preserve">De normering van de toets, waar het gaat om spelling, wordt aangepast. </w:t>
      </w:r>
      <w:r w:rsidR="00DA14A6">
        <w:rPr>
          <w:rFonts w:ascii="Cambria" w:hAnsi="Cambria"/>
          <w:color w:val="1F4E79" w:themeColor="accent1" w:themeShade="80"/>
        </w:rPr>
        <w:t>Ook de topografietoets kent een aangepaste normering. In rapportage wordt vermeld dat er een aangepaste normering wordt gebruikt.</w:t>
      </w:r>
    </w:p>
    <w:p w14:paraId="0ED19CA5" w14:textId="3607F188" w:rsidR="00D253A5" w:rsidRDefault="00A8728C" w:rsidP="00717517">
      <w:pPr>
        <w:pStyle w:val="Lijstalinea"/>
        <w:widowControl/>
        <w:numPr>
          <w:ilvl w:val="0"/>
          <w:numId w:val="8"/>
        </w:numPr>
        <w:suppressAutoHyphens w:val="0"/>
        <w:rPr>
          <w:rFonts w:ascii="Cambria" w:hAnsi="Cambria"/>
          <w:color w:val="1F4E79" w:themeColor="accent1" w:themeShade="80"/>
        </w:rPr>
      </w:pPr>
      <w:r>
        <w:rPr>
          <w:rFonts w:ascii="Cambria" w:hAnsi="Cambria"/>
          <w:color w:val="1F4E79" w:themeColor="accent1" w:themeShade="80"/>
        </w:rPr>
        <w:t xml:space="preserve">Kinderen met dyslexie kunnen gebruik maken van een maatje met het lezen van langere teksten. Het maatje leest de tekst dan samen, of leest de tekst voor. </w:t>
      </w:r>
    </w:p>
    <w:p w14:paraId="59B0FD19" w14:textId="79F267DE" w:rsidR="00646E53" w:rsidRPr="004154FD" w:rsidRDefault="00340762" w:rsidP="00717517">
      <w:pPr>
        <w:pStyle w:val="Lijstalinea"/>
        <w:widowControl/>
        <w:numPr>
          <w:ilvl w:val="0"/>
          <w:numId w:val="8"/>
        </w:numPr>
        <w:suppressAutoHyphens w:val="0"/>
        <w:rPr>
          <w:rFonts w:ascii="Cambria" w:hAnsi="Cambria"/>
          <w:color w:val="1F4E79" w:themeColor="accent1" w:themeShade="80"/>
        </w:rPr>
      </w:pPr>
      <w:r w:rsidRPr="004154FD">
        <w:rPr>
          <w:rFonts w:ascii="Cambria" w:hAnsi="Cambria"/>
          <w:color w:val="1F4E79" w:themeColor="accent1" w:themeShade="80"/>
        </w:rPr>
        <w:t>Bij k</w:t>
      </w:r>
      <w:r w:rsidR="00646E53" w:rsidRPr="004154FD">
        <w:rPr>
          <w:rFonts w:ascii="Cambria" w:hAnsi="Cambria"/>
          <w:color w:val="1F4E79" w:themeColor="accent1" w:themeShade="80"/>
        </w:rPr>
        <w:t xml:space="preserve">inderen die in groep 3 doubleren, </w:t>
      </w:r>
      <w:r w:rsidRPr="004154FD">
        <w:rPr>
          <w:rFonts w:ascii="Cambria" w:hAnsi="Cambria"/>
          <w:color w:val="1F4E79" w:themeColor="accent1" w:themeShade="80"/>
        </w:rPr>
        <w:t>nemen we bij de DMT kaart 1, 2 en 3 af.</w:t>
      </w:r>
    </w:p>
    <w:p w14:paraId="167D504F" w14:textId="77777777" w:rsidR="00D253A5" w:rsidRDefault="00D253A5" w:rsidP="00717517">
      <w:pPr>
        <w:widowControl/>
        <w:suppressAutoHyphens w:val="0"/>
        <w:rPr>
          <w:rFonts w:ascii="Cambria" w:hAnsi="Cambria"/>
          <w:color w:val="1F4E79" w:themeColor="accent1" w:themeShade="80"/>
        </w:rPr>
      </w:pPr>
    </w:p>
    <w:p w14:paraId="74D377AC" w14:textId="504D9147" w:rsidR="00D253A5" w:rsidRDefault="00D253A5" w:rsidP="00717517">
      <w:pPr>
        <w:widowControl/>
        <w:suppressAutoHyphens w:val="0"/>
        <w:rPr>
          <w:rFonts w:ascii="Cambria" w:hAnsi="Cambria"/>
          <w:color w:val="1F4E79" w:themeColor="accent1" w:themeShade="80"/>
        </w:rPr>
      </w:pPr>
      <w:r>
        <w:rPr>
          <w:rFonts w:ascii="Cambria" w:hAnsi="Cambria"/>
          <w:color w:val="1F4E79" w:themeColor="accent1" w:themeShade="80"/>
        </w:rPr>
        <w:t>Tijdens de Cito:</w:t>
      </w:r>
    </w:p>
    <w:p w14:paraId="0AE4181A" w14:textId="607EA02B" w:rsidR="00717517" w:rsidRDefault="00717517" w:rsidP="00717517">
      <w:pPr>
        <w:widowControl/>
        <w:suppressAutoHyphens w:val="0"/>
        <w:rPr>
          <w:rFonts w:ascii="Cambria" w:hAnsi="Cambria"/>
          <w:color w:val="1F4E79" w:themeColor="accent1" w:themeShade="80"/>
        </w:rPr>
      </w:pPr>
      <w:r>
        <w:rPr>
          <w:rFonts w:ascii="Cambria" w:hAnsi="Cambria"/>
          <w:color w:val="1F4E79" w:themeColor="accent1" w:themeShade="80"/>
        </w:rPr>
        <w:t xml:space="preserve">Wanneer het gaat om de Cito toetsen is het voor ons van belang om goed na te gaan wat we toetsen. Waar we leesvaardigheid willen toetsen, kunnen we de toetsen dan ook niet voorlezen. </w:t>
      </w:r>
    </w:p>
    <w:p w14:paraId="493EAD89" w14:textId="5F6A267D" w:rsidR="00717517" w:rsidRDefault="00717517" w:rsidP="00717517">
      <w:pPr>
        <w:widowControl/>
        <w:suppressAutoHyphens w:val="0"/>
        <w:rPr>
          <w:rFonts w:ascii="Cambria" w:hAnsi="Cambria"/>
          <w:color w:val="1F4E79" w:themeColor="accent1" w:themeShade="80"/>
        </w:rPr>
      </w:pPr>
      <w:r>
        <w:rPr>
          <w:rFonts w:ascii="Cambria" w:hAnsi="Cambria"/>
          <w:color w:val="1F4E79" w:themeColor="accent1" w:themeShade="80"/>
        </w:rPr>
        <w:t>Waar het gaat om andere vaardigheden,</w:t>
      </w:r>
      <w:r w:rsidR="00D253A5">
        <w:rPr>
          <w:rFonts w:ascii="Cambria" w:hAnsi="Cambria"/>
          <w:color w:val="1F4E79" w:themeColor="accent1" w:themeShade="80"/>
        </w:rPr>
        <w:t xml:space="preserve"> willen we binnen de </w:t>
      </w:r>
      <w:r w:rsidR="00D253A5" w:rsidRPr="00914C02">
        <w:rPr>
          <w:rFonts w:ascii="Cambria" w:hAnsi="Cambria"/>
          <w:color w:val="1F4E79" w:themeColor="accent1" w:themeShade="80"/>
        </w:rPr>
        <w:t xml:space="preserve">mogelijkheden het talige aspect ondervangen. Dit kan door middel van het voorlezen van de toetsen. </w:t>
      </w:r>
      <w:r w:rsidR="001E7E41" w:rsidRPr="00914C02">
        <w:rPr>
          <w:rFonts w:ascii="Cambria" w:hAnsi="Cambria"/>
          <w:color w:val="1F4E79" w:themeColor="accent1" w:themeShade="80"/>
        </w:rPr>
        <w:t xml:space="preserve">Dit wordt aangeboden </w:t>
      </w:r>
      <w:r w:rsidR="001E7E41" w:rsidRPr="00753901">
        <w:rPr>
          <w:rFonts w:ascii="Cambria" w:hAnsi="Cambria"/>
          <w:color w:val="1F4E79" w:themeColor="accent1" w:themeShade="80"/>
        </w:rPr>
        <w:t>binnen</w:t>
      </w:r>
      <w:r w:rsidR="005B2BF0" w:rsidRPr="00753901">
        <w:rPr>
          <w:rFonts w:ascii="Cambria" w:hAnsi="Cambria"/>
          <w:color w:val="1F4E79" w:themeColor="accent1" w:themeShade="80"/>
        </w:rPr>
        <w:t xml:space="preserve"> het programma Leerling in Beeld. </w:t>
      </w:r>
    </w:p>
    <w:p w14:paraId="1E18C95B" w14:textId="37F16EA4" w:rsidR="00D253A5" w:rsidRDefault="00D253A5" w:rsidP="00717517">
      <w:pPr>
        <w:widowControl/>
        <w:suppressAutoHyphens w:val="0"/>
        <w:rPr>
          <w:rFonts w:ascii="Cambria" w:hAnsi="Cambria"/>
          <w:color w:val="1F4E79" w:themeColor="accent1" w:themeShade="80"/>
        </w:rPr>
      </w:pPr>
    </w:p>
    <w:p w14:paraId="442E6777" w14:textId="024E6DB7" w:rsidR="00D253A5" w:rsidRDefault="00D253A5" w:rsidP="00717517">
      <w:pPr>
        <w:widowControl/>
        <w:suppressAutoHyphens w:val="0"/>
        <w:rPr>
          <w:rFonts w:ascii="Cambria" w:hAnsi="Cambria"/>
          <w:color w:val="1F4E79" w:themeColor="accent1" w:themeShade="80"/>
        </w:rPr>
      </w:pPr>
      <w:r>
        <w:rPr>
          <w:rFonts w:ascii="Cambria" w:hAnsi="Cambria"/>
          <w:color w:val="1F4E79" w:themeColor="accent1" w:themeShade="80"/>
        </w:rPr>
        <w:t xml:space="preserve">Kinderen met dyslexie mogen hun </w:t>
      </w:r>
      <w:r w:rsidR="00DA14A6">
        <w:rPr>
          <w:rFonts w:ascii="Cambria" w:hAnsi="Cambria"/>
          <w:color w:val="1F4E79" w:themeColor="accent1" w:themeShade="80"/>
        </w:rPr>
        <w:t xml:space="preserve">(door de dyslexiebegeleiding aangeboden) </w:t>
      </w:r>
      <w:r>
        <w:rPr>
          <w:rFonts w:ascii="Cambria" w:hAnsi="Cambria"/>
          <w:color w:val="1F4E79" w:themeColor="accent1" w:themeShade="80"/>
        </w:rPr>
        <w:t>spellingskaart gebruiken om hun werk te controleren. Dit mag dus ook bij de Cito toetsen.</w:t>
      </w:r>
    </w:p>
    <w:p w14:paraId="716B60C9" w14:textId="3F6CF050" w:rsidR="00D253A5" w:rsidRDefault="00D253A5" w:rsidP="00717517">
      <w:pPr>
        <w:widowControl/>
        <w:suppressAutoHyphens w:val="0"/>
        <w:rPr>
          <w:rFonts w:ascii="Cambria" w:hAnsi="Cambria"/>
          <w:color w:val="1F4E79" w:themeColor="accent1" w:themeShade="80"/>
        </w:rPr>
      </w:pPr>
    </w:p>
    <w:p w14:paraId="6BAF1A67" w14:textId="6195051A" w:rsidR="00D253A5" w:rsidRDefault="00D253A5" w:rsidP="00717517">
      <w:pPr>
        <w:widowControl/>
        <w:suppressAutoHyphens w:val="0"/>
        <w:rPr>
          <w:rFonts w:ascii="Cambria" w:hAnsi="Cambria"/>
          <w:color w:val="1F4E79" w:themeColor="accent1" w:themeShade="80"/>
        </w:rPr>
      </w:pPr>
      <w:r>
        <w:rPr>
          <w:rFonts w:ascii="Cambria" w:hAnsi="Cambria"/>
          <w:color w:val="1F4E79" w:themeColor="accent1" w:themeShade="80"/>
        </w:rPr>
        <w:t>Voortgezet onderwijs:</w:t>
      </w:r>
    </w:p>
    <w:p w14:paraId="2CF19E5F" w14:textId="4865026E" w:rsidR="00800A93" w:rsidRDefault="00800A93" w:rsidP="00717517">
      <w:pPr>
        <w:widowControl/>
        <w:suppressAutoHyphens w:val="0"/>
        <w:rPr>
          <w:rFonts w:ascii="Cambria" w:hAnsi="Cambria"/>
          <w:color w:val="1F4E79" w:themeColor="accent1" w:themeShade="80"/>
        </w:rPr>
      </w:pPr>
      <w:r>
        <w:rPr>
          <w:rFonts w:ascii="Cambria" w:hAnsi="Cambria"/>
          <w:color w:val="1F4E79" w:themeColor="accent1" w:themeShade="80"/>
        </w:rPr>
        <w:t>De centrale eindtoets voor kinderen met dyslexie kan worden afgenomen</w:t>
      </w:r>
      <w:r w:rsidRPr="00753901">
        <w:rPr>
          <w:rFonts w:ascii="Cambria" w:hAnsi="Cambria"/>
          <w:color w:val="1F4E79" w:themeColor="accent1" w:themeShade="80"/>
        </w:rPr>
        <w:t xml:space="preserve"> </w:t>
      </w:r>
      <w:r w:rsidR="00733384" w:rsidRPr="00753901">
        <w:rPr>
          <w:rFonts w:ascii="Cambria" w:hAnsi="Cambria"/>
          <w:color w:val="1F4E79" w:themeColor="accent1" w:themeShade="80"/>
        </w:rPr>
        <w:t xml:space="preserve">met behulp van een </w:t>
      </w:r>
      <w:r w:rsidRPr="00753901">
        <w:rPr>
          <w:rFonts w:ascii="Cambria" w:hAnsi="Cambria"/>
          <w:color w:val="1F4E79" w:themeColor="accent1" w:themeShade="80"/>
        </w:rPr>
        <w:t xml:space="preserve">gesproken versie. </w:t>
      </w:r>
      <w:r>
        <w:rPr>
          <w:rFonts w:ascii="Cambria" w:hAnsi="Cambria"/>
          <w:color w:val="1F4E79" w:themeColor="accent1" w:themeShade="80"/>
        </w:rPr>
        <w:t xml:space="preserve">De leerkracht vraagt na bij het kind en/of de ouders </w:t>
      </w:r>
      <w:r w:rsidR="00733384">
        <w:rPr>
          <w:rFonts w:ascii="Cambria" w:hAnsi="Cambria"/>
          <w:color w:val="1F4E79" w:themeColor="accent1" w:themeShade="80"/>
        </w:rPr>
        <w:t>of dit een</w:t>
      </w:r>
      <w:r>
        <w:rPr>
          <w:rFonts w:ascii="Cambria" w:hAnsi="Cambria"/>
          <w:color w:val="1F4E79" w:themeColor="accent1" w:themeShade="80"/>
        </w:rPr>
        <w:t xml:space="preserve"> gewenste aanpassing</w:t>
      </w:r>
      <w:r w:rsidR="00733384">
        <w:rPr>
          <w:rFonts w:ascii="Cambria" w:hAnsi="Cambria"/>
          <w:color w:val="1F4E79" w:themeColor="accent1" w:themeShade="80"/>
        </w:rPr>
        <w:t xml:space="preserve"> is.</w:t>
      </w:r>
    </w:p>
    <w:p w14:paraId="5402C9B6" w14:textId="35B78F97" w:rsidR="00D253A5" w:rsidRDefault="00D253A5" w:rsidP="00717517">
      <w:pPr>
        <w:widowControl/>
        <w:suppressAutoHyphens w:val="0"/>
        <w:rPr>
          <w:rFonts w:ascii="Cambria" w:hAnsi="Cambria"/>
          <w:color w:val="1F4E79" w:themeColor="accent1" w:themeShade="80"/>
        </w:rPr>
      </w:pPr>
      <w:r>
        <w:rPr>
          <w:rFonts w:ascii="Cambria" w:hAnsi="Cambria"/>
          <w:color w:val="1F4E79" w:themeColor="accent1" w:themeShade="80"/>
        </w:rPr>
        <w:t xml:space="preserve">We zijn alert bij de advisering richting het voortgezet onderwijs en dyslexie. Hierbij kijken we naar de totale capaciteiten van het kind. Hierin spelen de gegevens van het dyslexie onderzoek </w:t>
      </w:r>
      <w:r>
        <w:rPr>
          <w:rFonts w:ascii="Cambria" w:hAnsi="Cambria"/>
          <w:color w:val="1F4E79" w:themeColor="accent1" w:themeShade="80"/>
        </w:rPr>
        <w:lastRenderedPageBreak/>
        <w:t xml:space="preserve">een rol, naast de aanwezige (niet methode gebonden) toetsen. Ook wordt er gekeken naar de werkhouding van het kind, net zoals bij alle andere kinderen. </w:t>
      </w:r>
    </w:p>
    <w:p w14:paraId="7EBED2A9" w14:textId="77777777" w:rsidR="00D62E31" w:rsidRDefault="00D62E31" w:rsidP="00717517">
      <w:pPr>
        <w:widowControl/>
        <w:suppressAutoHyphens w:val="0"/>
        <w:rPr>
          <w:rFonts w:ascii="Cambria" w:hAnsi="Cambria"/>
          <w:color w:val="1F4E79" w:themeColor="accent1" w:themeShade="80"/>
        </w:rPr>
      </w:pPr>
    </w:p>
    <w:p w14:paraId="6FB7E227" w14:textId="560667D6" w:rsidR="00D253A5" w:rsidRDefault="00D253A5" w:rsidP="00717517">
      <w:pPr>
        <w:widowControl/>
        <w:suppressAutoHyphens w:val="0"/>
        <w:rPr>
          <w:rFonts w:ascii="Cambria" w:hAnsi="Cambria"/>
          <w:color w:val="1F4E79" w:themeColor="accent1" w:themeShade="80"/>
        </w:rPr>
      </w:pPr>
      <w:r>
        <w:rPr>
          <w:rFonts w:ascii="Cambria" w:hAnsi="Cambria"/>
          <w:color w:val="1F4E79" w:themeColor="accent1" w:themeShade="80"/>
        </w:rPr>
        <w:t>Thuis:</w:t>
      </w:r>
    </w:p>
    <w:p w14:paraId="4ECA62CB" w14:textId="650178BB" w:rsidR="00D253A5" w:rsidRDefault="00D253A5" w:rsidP="00717517">
      <w:pPr>
        <w:widowControl/>
        <w:suppressAutoHyphens w:val="0"/>
        <w:rPr>
          <w:rFonts w:ascii="Cambria" w:hAnsi="Cambria"/>
          <w:color w:val="1F4E79" w:themeColor="accent1" w:themeShade="80"/>
        </w:rPr>
      </w:pPr>
      <w:r>
        <w:rPr>
          <w:rFonts w:ascii="Cambria" w:hAnsi="Cambria"/>
          <w:color w:val="1F4E79" w:themeColor="accent1" w:themeShade="80"/>
        </w:rPr>
        <w:t>Kinderen met dyslexie hebben ook thuis een aanvullende behoefte. Het traject rondom begeleiding van dyslexie vraagt veel van de thuissituatie. Daarnaast is het belangrijk om het leesplezier van de kinderen zoveel mogelijk te stimuleren.</w:t>
      </w:r>
    </w:p>
    <w:p w14:paraId="4D3D8501" w14:textId="00714FFE" w:rsidR="0016017A" w:rsidRDefault="00655D12">
      <w:pPr>
        <w:widowControl/>
        <w:suppressAutoHyphens w:val="0"/>
        <w:rPr>
          <w:rFonts w:ascii="Cambria" w:hAnsi="Cambria"/>
          <w:color w:val="1F4E79" w:themeColor="accent1" w:themeShade="80"/>
        </w:rPr>
      </w:pPr>
      <w:r>
        <w:rPr>
          <w:rFonts w:ascii="Cambria" w:hAnsi="Cambria"/>
          <w:color w:val="1F4E79" w:themeColor="accent1" w:themeShade="80"/>
        </w:rPr>
        <w:t>Via de site passend lezen kunnen luisterboeken middels een app of de site beluisterd worden. Voor kinderen met de diagnose dyslexie is gebruik van de site gratis. (na tonen van diagnose van dyslexie)</w:t>
      </w:r>
    </w:p>
    <w:p w14:paraId="6B264D50" w14:textId="77777777" w:rsidR="009A47D4" w:rsidRDefault="009A47D4">
      <w:pPr>
        <w:widowControl/>
        <w:suppressAutoHyphens w:val="0"/>
        <w:rPr>
          <w:rFonts w:ascii="Cambria" w:hAnsi="Cambria"/>
          <w:color w:val="1F4E79" w:themeColor="accent1" w:themeShade="80"/>
        </w:rPr>
      </w:pPr>
    </w:p>
    <w:p w14:paraId="6DFD07F6" w14:textId="77777777" w:rsidR="00F50485" w:rsidRPr="00F50485" w:rsidRDefault="00F50485" w:rsidP="00F50485">
      <w:pPr>
        <w:widowControl/>
        <w:suppressAutoHyphens w:val="0"/>
        <w:rPr>
          <w:rFonts w:ascii="Cambria" w:hAnsi="Cambria"/>
          <w:color w:val="1F4E79" w:themeColor="accent1" w:themeShade="80"/>
        </w:rPr>
      </w:pPr>
      <w:r w:rsidRPr="00F50485">
        <w:rPr>
          <w:rFonts w:ascii="Cambria" w:hAnsi="Cambria"/>
          <w:color w:val="1F4E79" w:themeColor="accent1" w:themeShade="80"/>
        </w:rPr>
        <w:t>Kinderen met dyslexie zullen altijd een extra uitdaging hebben. We streven ernaar de kinderen zo goed mogelijk te begeleiden en mee te denken in ondersteunende maatregelen. De leerlingen zullen ook extra uitgedaagd worden. Het hebben van dyslexie vraagt namelijk om extra tijd te besteden aan de talige ontwikkeling. Gelukkig zijn er hulpmiddelen en maatregelen om het harde werken te ondersteunen.</w:t>
      </w:r>
    </w:p>
    <w:p w14:paraId="38E3237D" w14:textId="329DE23D" w:rsidR="00D62E31" w:rsidRDefault="00D62E31" w:rsidP="00F50485">
      <w:pPr>
        <w:widowControl/>
        <w:suppressAutoHyphens w:val="0"/>
        <w:rPr>
          <w:rFonts w:ascii="Cambria" w:hAnsi="Cambria"/>
          <w:b/>
          <w:color w:val="1F4E79" w:themeColor="accent1" w:themeShade="80"/>
          <w:sz w:val="56"/>
          <w:szCs w:val="56"/>
        </w:rPr>
      </w:pPr>
    </w:p>
    <w:sectPr w:rsidR="00D62E31">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shd w:val="clear" w:color="auto" w:fill="FFFF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472519"/>
    <w:multiLevelType w:val="hybridMultilevel"/>
    <w:tmpl w:val="C920695C"/>
    <w:lvl w:ilvl="0" w:tplc="A54A8DF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A03876"/>
    <w:multiLevelType w:val="hybridMultilevel"/>
    <w:tmpl w:val="0A6404AA"/>
    <w:lvl w:ilvl="0" w:tplc="5BA41056">
      <w:start w:val="1"/>
      <w:numFmt w:val="upperLetter"/>
      <w:lvlText w:val="%1."/>
      <w:lvlJc w:val="left"/>
      <w:pPr>
        <w:ind w:left="720" w:hanging="360"/>
      </w:pPr>
      <w:rPr>
        <w:rFonts w:ascii="Arial" w:hAnsi="Arial"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161A69"/>
    <w:multiLevelType w:val="hybridMultilevel"/>
    <w:tmpl w:val="B0A06CB6"/>
    <w:name w:val="WW8Num122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5F370C"/>
    <w:multiLevelType w:val="multilevel"/>
    <w:tmpl w:val="00000001"/>
    <w:name w:val="WW8Num12"/>
    <w:lvl w:ilvl="0">
      <w:start w:val="1"/>
      <w:numFmt w:val="decimal"/>
      <w:lvlText w:val="%1."/>
      <w:lvlJc w:val="left"/>
      <w:pPr>
        <w:tabs>
          <w:tab w:val="num" w:pos="0"/>
        </w:tabs>
        <w:ind w:left="720" w:hanging="360"/>
      </w:pPr>
      <w:rPr>
        <w:shd w:val="clear" w:color="auto" w:fill="FFFF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2A27589D"/>
    <w:multiLevelType w:val="hybridMultilevel"/>
    <w:tmpl w:val="DF9027B6"/>
    <w:lvl w:ilvl="0" w:tplc="889A23E2">
      <w:numFmt w:val="bullet"/>
      <w:lvlText w:val=""/>
      <w:lvlJc w:val="left"/>
      <w:pPr>
        <w:ind w:left="720" w:hanging="360"/>
      </w:pPr>
      <w:rPr>
        <w:rFonts w:ascii="Symbol" w:eastAsia="SimSun" w:hAnsi="Symbol"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A72EF"/>
    <w:multiLevelType w:val="multilevel"/>
    <w:tmpl w:val="00000001"/>
    <w:name w:val="WW8Num1222"/>
    <w:lvl w:ilvl="0">
      <w:start w:val="1"/>
      <w:numFmt w:val="decimal"/>
      <w:lvlText w:val="%1."/>
      <w:lvlJc w:val="left"/>
      <w:pPr>
        <w:tabs>
          <w:tab w:val="num" w:pos="0"/>
        </w:tabs>
        <w:ind w:left="720" w:hanging="360"/>
      </w:pPr>
      <w:rPr>
        <w:shd w:val="clear" w:color="auto" w:fill="FFFF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74A53420"/>
    <w:multiLevelType w:val="hybridMultilevel"/>
    <w:tmpl w:val="FCBAF1DA"/>
    <w:name w:val="WW8Num1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281BE3"/>
    <w:multiLevelType w:val="hybridMultilevel"/>
    <w:tmpl w:val="200A6B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96967525">
    <w:abstractNumId w:val="0"/>
  </w:num>
  <w:num w:numId="2" w16cid:durableId="426006031">
    <w:abstractNumId w:val="1"/>
  </w:num>
  <w:num w:numId="3" w16cid:durableId="195969197">
    <w:abstractNumId w:val="3"/>
  </w:num>
  <w:num w:numId="4" w16cid:durableId="318383261">
    <w:abstractNumId w:val="5"/>
  </w:num>
  <w:num w:numId="5" w16cid:durableId="699165902">
    <w:abstractNumId w:val="8"/>
  </w:num>
  <w:num w:numId="6" w16cid:durableId="1108542548">
    <w:abstractNumId w:val="7"/>
  </w:num>
  <w:num w:numId="7" w16cid:durableId="399210309">
    <w:abstractNumId w:val="4"/>
  </w:num>
  <w:num w:numId="8" w16cid:durableId="1721247712">
    <w:abstractNumId w:val="6"/>
  </w:num>
  <w:num w:numId="9" w16cid:durableId="2144808042">
    <w:abstractNumId w:val="2"/>
  </w:num>
  <w:num w:numId="10" w16cid:durableId="382563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EF"/>
    <w:rsid w:val="00087BD6"/>
    <w:rsid w:val="000908DA"/>
    <w:rsid w:val="000D11F6"/>
    <w:rsid w:val="000E30FD"/>
    <w:rsid w:val="000F0C39"/>
    <w:rsid w:val="00114E4E"/>
    <w:rsid w:val="00136EE9"/>
    <w:rsid w:val="001533FC"/>
    <w:rsid w:val="0016017A"/>
    <w:rsid w:val="00161B82"/>
    <w:rsid w:val="001C2ADE"/>
    <w:rsid w:val="001E7E41"/>
    <w:rsid w:val="00217F52"/>
    <w:rsid w:val="00272C59"/>
    <w:rsid w:val="00340762"/>
    <w:rsid w:val="00371291"/>
    <w:rsid w:val="00384A25"/>
    <w:rsid w:val="003C1596"/>
    <w:rsid w:val="004154FD"/>
    <w:rsid w:val="00497209"/>
    <w:rsid w:val="004C0821"/>
    <w:rsid w:val="004C2CB4"/>
    <w:rsid w:val="004E37EB"/>
    <w:rsid w:val="005624A9"/>
    <w:rsid w:val="0057409E"/>
    <w:rsid w:val="005832F8"/>
    <w:rsid w:val="005904CE"/>
    <w:rsid w:val="005935FA"/>
    <w:rsid w:val="005B2BF0"/>
    <w:rsid w:val="005D22A1"/>
    <w:rsid w:val="00646E53"/>
    <w:rsid w:val="00655D12"/>
    <w:rsid w:val="006C1230"/>
    <w:rsid w:val="006E478E"/>
    <w:rsid w:val="00717517"/>
    <w:rsid w:val="00733384"/>
    <w:rsid w:val="00753901"/>
    <w:rsid w:val="00800A93"/>
    <w:rsid w:val="00821E9D"/>
    <w:rsid w:val="0084232F"/>
    <w:rsid w:val="00885C50"/>
    <w:rsid w:val="008E4B34"/>
    <w:rsid w:val="008E7E40"/>
    <w:rsid w:val="00914C02"/>
    <w:rsid w:val="00947566"/>
    <w:rsid w:val="00953154"/>
    <w:rsid w:val="009A3DE7"/>
    <w:rsid w:val="009A47D4"/>
    <w:rsid w:val="009A7A4D"/>
    <w:rsid w:val="009C3B7F"/>
    <w:rsid w:val="00A3606C"/>
    <w:rsid w:val="00A425EF"/>
    <w:rsid w:val="00A44891"/>
    <w:rsid w:val="00A8728C"/>
    <w:rsid w:val="00B30462"/>
    <w:rsid w:val="00B33684"/>
    <w:rsid w:val="00B84517"/>
    <w:rsid w:val="00B90D06"/>
    <w:rsid w:val="00BA5144"/>
    <w:rsid w:val="00C6298A"/>
    <w:rsid w:val="00C668F1"/>
    <w:rsid w:val="00D253A5"/>
    <w:rsid w:val="00D3781C"/>
    <w:rsid w:val="00D62E31"/>
    <w:rsid w:val="00D73F45"/>
    <w:rsid w:val="00DA14A6"/>
    <w:rsid w:val="00DB3315"/>
    <w:rsid w:val="00DC0D6B"/>
    <w:rsid w:val="00DF2015"/>
    <w:rsid w:val="00E439E7"/>
    <w:rsid w:val="00EA408C"/>
    <w:rsid w:val="00EB6886"/>
    <w:rsid w:val="00ED720D"/>
    <w:rsid w:val="00F1024E"/>
    <w:rsid w:val="00F157EF"/>
    <w:rsid w:val="00F25E18"/>
    <w:rsid w:val="00F34E06"/>
    <w:rsid w:val="00F50485"/>
    <w:rsid w:val="00F56AA9"/>
    <w:rsid w:val="00FB2259"/>
    <w:rsid w:val="00FC03FC"/>
    <w:rsid w:val="00FC545E"/>
    <w:rsid w:val="00FD3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AE812F"/>
  <w15:chartTrackingRefBased/>
  <w15:docId w15:val="{C1E0070B-5669-45A0-9BC1-C3E1BBA7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Hyperlink">
    <w:name w:val="Hyperlink"/>
    <w:rPr>
      <w:color w:val="000080"/>
      <w:u w:val="single"/>
    </w:rPr>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Lijstalinea1">
    <w:name w:val="Lijstalinea1"/>
    <w:basedOn w:val="Standaard"/>
    <w:pPr>
      <w:ind w:left="720"/>
    </w:pPr>
    <w:rPr>
      <w:szCs w:val="16"/>
    </w:rPr>
  </w:style>
  <w:style w:type="paragraph" w:styleId="Lijstalinea">
    <w:name w:val="List Paragraph"/>
    <w:basedOn w:val="Standaard"/>
    <w:uiPriority w:val="34"/>
    <w:qFormat/>
    <w:rsid w:val="00114E4E"/>
    <w:pPr>
      <w:ind w:left="720"/>
      <w:contextualSpacing/>
    </w:pPr>
    <w:rPr>
      <w:szCs w:val="21"/>
    </w:rPr>
  </w:style>
  <w:style w:type="paragraph" w:styleId="Geenafstand">
    <w:name w:val="No Spacing"/>
    <w:uiPriority w:val="1"/>
    <w:qFormat/>
    <w:rsid w:val="00717517"/>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9C3B7F"/>
    <w:rPr>
      <w:rFonts w:ascii="Segoe UI" w:hAnsi="Segoe UI"/>
      <w:sz w:val="18"/>
      <w:szCs w:val="16"/>
    </w:rPr>
  </w:style>
  <w:style w:type="character" w:customStyle="1" w:styleId="BallontekstChar">
    <w:name w:val="Ballontekst Char"/>
    <w:basedOn w:val="Standaardalinea-lettertype"/>
    <w:link w:val="Ballontekst"/>
    <w:uiPriority w:val="99"/>
    <w:semiHidden/>
    <w:rsid w:val="009C3B7F"/>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8fbaaba1-158b-4429-a55b-b3f18f621a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AD620CADB3D44DA252BE254E0ED4B2" ma:contentTypeVersion="19" ma:contentTypeDescription="Een nieuw document maken." ma:contentTypeScope="" ma:versionID="39abac5250c2a9d32cd526869961567d">
  <xsd:schema xmlns:xsd="http://www.w3.org/2001/XMLSchema" xmlns:xs="http://www.w3.org/2001/XMLSchema" xmlns:p="http://schemas.microsoft.com/office/2006/metadata/properties" xmlns:ns1="http://schemas.microsoft.com/sharepoint/v3" xmlns:ns2="c38901ba-b406-4095-91b4-84b039422e47" xmlns:ns3="8fbaaba1-158b-4429-a55b-b3f18f621a76" targetNamespace="http://schemas.microsoft.com/office/2006/metadata/properties" ma:root="true" ma:fieldsID="e1e8cb0dcb35cd0980ac680d0436845d" ns1:_="" ns2:_="" ns3:_="">
    <xsd:import namespace="http://schemas.microsoft.com/sharepoint/v3"/>
    <xsd:import namespace="c38901ba-b406-4095-91b4-84b039422e47"/>
    <xsd:import namespace="8fbaaba1-158b-4429-a55b-b3f18f621a7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8901ba-b406-4095-91b4-84b039422e47"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baaba1-158b-4429-a55b-b3f18f621a7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D4E8C-8D1B-487B-BFDB-5C36B297BF9C}">
  <ds:schemaRefs>
    <ds:schemaRef ds:uri="http://schemas.microsoft.com/sharepoint/v3/contenttype/forms"/>
  </ds:schemaRefs>
</ds:datastoreItem>
</file>

<file path=customXml/itemProps2.xml><?xml version="1.0" encoding="utf-8"?>
<ds:datastoreItem xmlns:ds="http://schemas.openxmlformats.org/officeDocument/2006/customXml" ds:itemID="{F4B44783-894E-4295-BAB0-D40065C4EC92}">
  <ds:schemaRefs>
    <ds:schemaRef ds:uri="http://schemas.openxmlformats.org/officeDocument/2006/bibliography"/>
  </ds:schemaRefs>
</ds:datastoreItem>
</file>

<file path=customXml/itemProps3.xml><?xml version="1.0" encoding="utf-8"?>
<ds:datastoreItem xmlns:ds="http://schemas.openxmlformats.org/officeDocument/2006/customXml" ds:itemID="{A73B560C-DFF2-4643-A7C9-9646CF9DC31A}">
  <ds:schemaRefs>
    <ds:schemaRef ds:uri="http://schemas.microsoft.com/office/2006/metadata/properties"/>
    <ds:schemaRef ds:uri="http://schemas.microsoft.com/office/infopath/2007/PartnerControls"/>
    <ds:schemaRef ds:uri="http://schemas.microsoft.com/sharepoint/v3"/>
    <ds:schemaRef ds:uri="8fbaaba1-158b-4429-a55b-b3f18f621a76"/>
  </ds:schemaRefs>
</ds:datastoreItem>
</file>

<file path=customXml/itemProps4.xml><?xml version="1.0" encoding="utf-8"?>
<ds:datastoreItem xmlns:ds="http://schemas.openxmlformats.org/officeDocument/2006/customXml" ds:itemID="{0DADB169-F739-4A52-A62F-404AAB86E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901ba-b406-4095-91b4-84b039422e47"/>
    <ds:schemaRef ds:uri="8fbaaba1-158b-4429-a55b-b3f18f621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927</Words>
  <Characters>5103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Stichting Flore</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Senff</dc:creator>
  <cp:keywords/>
  <cp:lastModifiedBy>Anita Kraakman - Bruggeling</cp:lastModifiedBy>
  <cp:revision>13</cp:revision>
  <cp:lastPrinted>2019-10-02T17:01:00Z</cp:lastPrinted>
  <dcterms:created xsi:type="dcterms:W3CDTF">2025-06-27T09:57:00Z</dcterms:created>
  <dcterms:modified xsi:type="dcterms:W3CDTF">2025-07-01T10:15:00Z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0x010100C5AD620CADB3D44DA252BE254E0ED4B2</vt:lpwstr>
  </property>
  <property fmtid="{D5CDD505-2E9C-101B-9397-08002B2CF9AE}" pid="3" name="Beleidstatus">
    <vt:lpwstr>Concept</vt:lpwstr>
  </property>
  <property fmtid="{D5CDD505-2E9C-101B-9397-08002B2CF9AE}" pid="4" name="Doelgroep">
    <vt:lpwstr>Medewerker</vt:lpwstr>
  </property>
  <property fmtid="{D5CDD505-2E9C-101B-9397-08002B2CF9AE}" pid="5" name="Schooljaar">
    <vt:lpwstr>2015-2016</vt:lpwstr>
  </property>
  <property fmtid="{D5CDD505-2E9C-101B-9397-08002B2CF9AE}" pid="6" name="Type bijeenkomst">
    <vt:lpwstr>Algemeen</vt:lpwstr>
  </property>
  <property fmtid="{D5CDD505-2E9C-101B-9397-08002B2CF9AE}" pid="7" name="Themas">
    <vt:lpwstr/>
  </property>
  <property fmtid="{D5CDD505-2E9C-101B-9397-08002B2CF9AE}" pid="8" name="b28efbd2c3c64e6b9602d2695500b4fa">
    <vt:lpwstr/>
  </property>
  <property fmtid="{D5CDD505-2E9C-101B-9397-08002B2CF9AE}" pid="9" name="p2a5124cc52c4a2f8ebc11fef50fed0e">
    <vt:lpwstr/>
  </property>
  <property fmtid="{D5CDD505-2E9C-101B-9397-08002B2CF9AE}" pid="10" name="MediaServiceImageTags">
    <vt:lpwstr/>
  </property>
  <property fmtid="{D5CDD505-2E9C-101B-9397-08002B2CF9AE}" pid="11" name="Schooldocumenttype">
    <vt:lpwstr/>
  </property>
  <property fmtid="{D5CDD505-2E9C-101B-9397-08002B2CF9AE}" pid="12" name="od851464fc7f46e8a4bdfdc14dd01eac">
    <vt:lpwstr/>
  </property>
  <property fmtid="{D5CDD505-2E9C-101B-9397-08002B2CF9AE}" pid="13" name="Organen">
    <vt:lpwstr/>
  </property>
  <property fmtid="{D5CDD505-2E9C-101B-9397-08002B2CF9AE}" pid="14" name="TaxCatchAll">
    <vt:lpwstr/>
  </property>
  <property fmtid="{D5CDD505-2E9C-101B-9397-08002B2CF9AE}" pid="15" name="Scholen">
    <vt:lpwstr/>
  </property>
  <property fmtid="{D5CDD505-2E9C-101B-9397-08002B2CF9AE}" pid="16" name="g02ed73d91234c6cb9071f75733c0fb9">
    <vt:lpwstr/>
  </property>
  <property fmtid="{D5CDD505-2E9C-101B-9397-08002B2CF9AE}" pid="17" name="fa79acd49223493792e80120a10a8cd0">
    <vt:lpwstr/>
  </property>
  <property fmtid="{D5CDD505-2E9C-101B-9397-08002B2CF9AE}" pid="18" name="mfeb0dfc8b29456a901b8419dcb1ed37">
    <vt:lpwstr/>
  </property>
  <property fmtid="{D5CDD505-2E9C-101B-9397-08002B2CF9AE}" pid="19" name="abb6e798af34489f865411e2d10c627f">
    <vt:lpwstr/>
  </property>
  <property fmtid="{D5CDD505-2E9C-101B-9397-08002B2CF9AE}" pid="20" name="Beleid">
    <vt:lpwstr/>
  </property>
  <property fmtid="{D5CDD505-2E9C-101B-9397-08002B2CF9AE}" pid="21" name="Groepen">
    <vt:lpwstr/>
  </property>
  <property fmtid="{D5CDD505-2E9C-101B-9397-08002B2CF9AE}" pid="22" name="Tags">
    <vt:lpwstr/>
  </property>
</Properties>
</file>